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0" w:hanging="0"/>
        <w:jc w:val="right"/>
        <w:rPr>
          <w:b/>
          <w:b/>
        </w:rPr>
      </w:pPr>
      <w:r>
        <w:rPr>
          <w:b/>
        </w:rPr>
        <w:t>УТВЕРЖДЕНО</w:t>
      </w:r>
    </w:p>
    <w:p>
      <w:pPr>
        <w:pStyle w:val="ListParagraph"/>
        <w:ind w:left="0" w:hanging="0"/>
        <w:jc w:val="right"/>
        <w:rPr>
          <w:b/>
          <w:b/>
          <w:color w:val="000000"/>
        </w:rPr>
      </w:pPr>
      <w:r>
        <w:rPr>
          <w:b/>
        </w:rPr>
        <w:t xml:space="preserve"> </w:t>
      </w:r>
      <w:r>
        <w:rPr>
          <w:b/>
        </w:rPr>
        <w:t xml:space="preserve">приказом </w:t>
      </w:r>
      <w:r>
        <w:rPr>
          <w:b/>
          <w:color w:val="000000"/>
        </w:rPr>
        <w:t>ОГУП «Липецкфармация»</w:t>
      </w:r>
    </w:p>
    <w:p>
      <w:pPr>
        <w:pStyle w:val="Normal"/>
        <w:shd w:val="clear" w:color="auto" w:fill="FFFFFF"/>
        <w:jc w:val="right"/>
        <w:rPr>
          <w:b/>
          <w:b/>
        </w:rPr>
      </w:pPr>
      <w:r>
        <w:rPr>
          <w:b/>
        </w:rPr>
        <w:t xml:space="preserve">№ </w:t>
      </w:r>
      <w:r>
        <w:rPr>
          <w:b/>
        </w:rPr>
        <w:t>715 от «26» декабря 2018 г.</w:t>
      </w:r>
    </w:p>
    <w:p>
      <w:pPr>
        <w:pStyle w:val="Normal"/>
        <w:shd w:val="clear" w:color="auto" w:fill="FFFFFF"/>
        <w:jc w:val="right"/>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sz w:val="36"/>
          <w:szCs w:val="36"/>
        </w:rPr>
      </w:pPr>
      <w:r>
        <w:rPr>
          <w:b/>
          <w:color w:val="000000"/>
          <w:sz w:val="36"/>
          <w:szCs w:val="36"/>
        </w:rPr>
        <w:t>ПОЛОЖЕНИЕ</w:t>
      </w:r>
    </w:p>
    <w:p>
      <w:pPr>
        <w:pStyle w:val="Normal"/>
        <w:shd w:val="clear" w:color="auto" w:fill="FFFFFF"/>
        <w:jc w:val="center"/>
        <w:rPr>
          <w:b/>
          <w:b/>
          <w:color w:val="000000"/>
          <w:sz w:val="36"/>
          <w:szCs w:val="36"/>
        </w:rPr>
      </w:pPr>
      <w:r>
        <w:rPr>
          <w:b/>
          <w:color w:val="000000"/>
          <w:sz w:val="36"/>
          <w:szCs w:val="36"/>
        </w:rPr>
        <w:t xml:space="preserve">О ЗАКУПКЕ ТОВАРОВ, РАБОТ, УСЛУГ </w:t>
      </w:r>
    </w:p>
    <w:p>
      <w:pPr>
        <w:pStyle w:val="Normal"/>
        <w:shd w:val="clear" w:color="auto" w:fill="FFFFFF"/>
        <w:jc w:val="center"/>
        <w:rPr>
          <w:b/>
          <w:b/>
          <w:color w:val="000000"/>
        </w:rPr>
      </w:pPr>
      <w:r>
        <w:rPr>
          <w:b/>
          <w:color w:val="000000"/>
        </w:rPr>
        <w:t>ОБЛАСТНОГО ГОСУДАРСТВЕННОГО УНИТАРНОГО ПРЕДПРИЯТИЯ «ЛИПЕЦКФАРМАЦИЯ» (ОГУП «ЛИПЕЦКФАРМАЦИЯ»)</w:t>
      </w:r>
    </w:p>
    <w:p>
      <w:pPr>
        <w:pStyle w:val="Normal"/>
        <w:shd w:val="clear" w:color="auto" w:fill="FFFFFF"/>
        <w:jc w:val="center"/>
        <w:rPr>
          <w:b/>
          <w:b/>
          <w:color w:val="000000"/>
        </w:rPr>
      </w:pPr>
      <w:r>
        <w:rPr>
          <w:b/>
          <w:color w:val="000000"/>
        </w:rPr>
      </w:r>
      <w:bookmarkStart w:id="0" w:name="_Hlk502071770"/>
      <w:bookmarkStart w:id="1" w:name="_Hlk502071770"/>
      <w:bookmarkEnd w:id="1"/>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r>
    </w:p>
    <w:p>
      <w:pPr>
        <w:pStyle w:val="Normal"/>
        <w:shd w:val="clear" w:color="auto" w:fill="FFFFFF"/>
        <w:jc w:val="center"/>
        <w:rPr>
          <w:b/>
          <w:b/>
          <w:color w:val="000000"/>
        </w:rPr>
      </w:pPr>
      <w:r>
        <w:rPr>
          <w:b/>
          <w:color w:val="000000"/>
        </w:rPr>
        <w:t>г. Липецк</w:t>
      </w:r>
    </w:p>
    <w:p>
      <w:pPr>
        <w:pStyle w:val="Normal"/>
        <w:shd w:val="clear" w:color="auto" w:fill="FFFFFF"/>
        <w:jc w:val="center"/>
        <w:rPr>
          <w:b/>
          <w:b/>
          <w:color w:val="000000"/>
        </w:rPr>
      </w:pPr>
      <w:r>
        <w:rPr>
          <w:b/>
          <w:color w:val="000000"/>
        </w:rPr>
        <w:t>С О Д Е Р Ж А Н И Е</w:t>
      </w:r>
    </w:p>
    <w:p>
      <w:pPr>
        <w:pStyle w:val="Normal"/>
        <w:shd w:val="clear" w:color="auto" w:fill="FFFFFF"/>
        <w:rPr>
          <w:b/>
          <w:b/>
          <w:color w:val="000000"/>
        </w:rPr>
      </w:pPr>
      <w:r>
        <w:rPr>
          <w:b/>
          <w:color w:val="000000"/>
        </w:rPr>
      </w:r>
    </w:p>
    <w:p>
      <w:pPr>
        <w:pStyle w:val="Normal"/>
        <w:shd w:val="clear" w:color="auto" w:fill="FFFFFF"/>
        <w:spacing w:lineRule="auto" w:line="276"/>
        <w:jc w:val="right"/>
        <w:rPr>
          <w:color w:val="000000"/>
        </w:rPr>
      </w:pPr>
      <w:r>
        <w:rPr>
          <w:color w:val="000000"/>
        </w:rPr>
        <w:t>стр.</w:t>
      </w:r>
    </w:p>
    <w:p>
      <w:pPr>
        <w:pStyle w:val="Normal"/>
        <w:shd w:val="clear" w:color="auto" w:fill="FFFFFF"/>
        <w:spacing w:lineRule="auto" w:line="276"/>
        <w:jc w:val="both"/>
        <w:rPr>
          <w:color w:val="000000"/>
        </w:rPr>
      </w:pPr>
      <w:r>
        <w:rPr>
          <w:color w:val="000000"/>
        </w:rPr>
      </w:r>
    </w:p>
    <w:p>
      <w:pPr>
        <w:pStyle w:val="Normal"/>
        <w:shd w:val="clear" w:color="auto" w:fill="FFFFFF"/>
        <w:spacing w:lineRule="auto" w:line="276"/>
        <w:jc w:val="both"/>
        <w:rPr>
          <w:color w:val="000000"/>
        </w:rPr>
      </w:pPr>
      <w:r>
        <w:rPr>
          <w:color w:val="000000"/>
        </w:rPr>
        <w:t>1. ОБЩИЕ ПОЛОЖЕНИЯ                                                                                                                     4</w:t>
      </w:r>
    </w:p>
    <w:p>
      <w:pPr>
        <w:pStyle w:val="Normal"/>
        <w:shd w:val="clear" w:color="auto" w:fill="FFFFFF"/>
        <w:tabs>
          <w:tab w:val="left" w:pos="900" w:leader="none"/>
        </w:tabs>
        <w:spacing w:lineRule="auto" w:line="276"/>
        <w:jc w:val="both"/>
        <w:rPr/>
      </w:pPr>
      <w:r>
        <w:rPr/>
        <w:t>2. ОПРЕДЕЛЕНИЯ, СОКРАЩЕНИЯ И ТЕРМИНЫ, ИСПОЛЬЗУЕМЫЕ В ПОЛОЖЕНИИ        5</w:t>
      </w:r>
    </w:p>
    <w:p>
      <w:pPr>
        <w:pStyle w:val="Normal"/>
        <w:spacing w:lineRule="auto" w:line="276"/>
        <w:jc w:val="both"/>
        <w:rPr>
          <w:bCs/>
          <w:sz w:val="22"/>
          <w:szCs w:val="22"/>
        </w:rPr>
      </w:pPr>
      <w:r>
        <w:rPr>
          <w:bCs/>
          <w:sz w:val="22"/>
          <w:szCs w:val="22"/>
        </w:rPr>
        <w:t>3. ИНФОРМАЦИОННОЕ ОБЕСПЕЧЕНИЕ ЗАКУПКИ                                                                                    8</w:t>
      </w:r>
    </w:p>
    <w:p>
      <w:pPr>
        <w:pStyle w:val="Normal"/>
        <w:spacing w:lineRule="auto" w:line="276"/>
        <w:jc w:val="both"/>
        <w:rPr>
          <w:caps/>
        </w:rPr>
      </w:pPr>
      <w:r>
        <w:rPr>
          <w:caps/>
        </w:rPr>
        <w:t>4. Планирование закупок                                                                                                        10</w:t>
      </w:r>
    </w:p>
    <w:p>
      <w:pPr>
        <w:pStyle w:val="Normal"/>
        <w:spacing w:lineRule="auto" w:line="276"/>
        <w:jc w:val="both"/>
        <w:rPr>
          <w:caps/>
        </w:rPr>
      </w:pPr>
      <w:r>
        <w:rPr>
          <w:caps/>
        </w:rPr>
        <w:t>5. План закупки инновационной продукции, высокотехнологичной продукции и лекарственных средств                                                                             12</w:t>
      </w:r>
    </w:p>
    <w:p>
      <w:pPr>
        <w:pStyle w:val="Normal"/>
        <w:shd w:val="clear" w:color="auto" w:fill="FFFFFF"/>
        <w:tabs>
          <w:tab w:val="left" w:pos="900" w:leader="none"/>
        </w:tabs>
        <w:spacing w:lineRule="auto" w:line="276"/>
        <w:jc w:val="both"/>
        <w:rPr/>
      </w:pPr>
      <w:r>
        <w:rPr/>
        <w:t xml:space="preserve">6. СПОСОБЫ И УСЛОВИЯ ПРОВЕДЕНИЯ ПРОЦЕДУР ЗАКУПОК                                           12  </w:t>
      </w:r>
    </w:p>
    <w:p>
      <w:pPr>
        <w:pStyle w:val="Normal"/>
        <w:spacing w:lineRule="auto" w:line="276"/>
        <w:jc w:val="both"/>
        <w:rPr>
          <w:bCs/>
        </w:rPr>
      </w:pPr>
      <w:r>
        <w:rPr>
          <w:bCs/>
        </w:rPr>
        <w:t>6.1. Способы закупок                                                                                                                            12</w:t>
      </w:r>
    </w:p>
    <w:p>
      <w:pPr>
        <w:pStyle w:val="Normal"/>
        <w:spacing w:lineRule="auto" w:line="276"/>
        <w:jc w:val="both"/>
        <w:rPr>
          <w:bCs/>
        </w:rPr>
      </w:pPr>
      <w:r>
        <w:rPr>
          <w:bCs/>
        </w:rPr>
        <w:t xml:space="preserve">6.2. Особенности проведения процедур закупок                                                                               13 </w:t>
      </w:r>
    </w:p>
    <w:p>
      <w:pPr>
        <w:pStyle w:val="Normal"/>
        <w:spacing w:lineRule="auto" w:line="276"/>
        <w:jc w:val="both"/>
        <w:rPr>
          <w:bCs/>
        </w:rPr>
      </w:pPr>
      <w:r>
        <w:rPr>
          <w:bCs/>
        </w:rPr>
        <w:t>6.3. Условия выбора способа закупки                                                                                                 14</w:t>
      </w:r>
    </w:p>
    <w:p>
      <w:pPr>
        <w:pStyle w:val="Normal"/>
        <w:tabs>
          <w:tab w:val="left" w:pos="4680" w:leader="none"/>
        </w:tabs>
        <w:spacing w:lineRule="auto" w:line="276"/>
        <w:jc w:val="both"/>
        <w:rPr>
          <w:color w:val="26282F"/>
        </w:rPr>
      </w:pPr>
      <w:r>
        <w:rPr>
          <w:bCs/>
          <w:caps/>
        </w:rPr>
        <w:t>7. ЗАКУПКИ</w:t>
      </w:r>
      <w:r>
        <w:rPr>
          <w:bCs/>
          <w:caps/>
          <w:sz w:val="20"/>
          <w:szCs w:val="20"/>
        </w:rPr>
        <w:t xml:space="preserve"> </w:t>
      </w:r>
      <w:r>
        <w:rPr>
          <w:bCs/>
          <w:caps/>
        </w:rPr>
        <w:t xml:space="preserve">У </w:t>
      </w:r>
      <w:r>
        <w:rPr>
          <w:color w:val="26282F"/>
        </w:rPr>
        <w:t xml:space="preserve">СУБЪЕКТОВ МАЛОГО И СРЕДНЕГО ПРЕДПРИНИМАТЕЛЬСТВА              </w:t>
      </w:r>
    </w:p>
    <w:p>
      <w:pPr>
        <w:pStyle w:val="Normal"/>
        <w:spacing w:lineRule="auto" w:line="276"/>
        <w:jc w:val="both"/>
        <w:rPr>
          <w:color w:val="26282F"/>
        </w:rPr>
      </w:pPr>
      <w:r>
        <w:rPr>
          <w:bCs/>
          <w:caps/>
        </w:rPr>
        <w:t xml:space="preserve"> </w:t>
      </w:r>
      <w:r>
        <w:rPr>
          <w:color w:val="26282F"/>
        </w:rPr>
        <w:t xml:space="preserve">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18   </w:t>
      </w:r>
    </w:p>
    <w:p>
      <w:pPr>
        <w:pStyle w:val="S3"/>
        <w:tabs>
          <w:tab w:val="left" w:pos="1080" w:leader="none"/>
          <w:tab w:val="left" w:pos="4680" w:leader="none"/>
        </w:tabs>
        <w:spacing w:lineRule="auto" w:line="276"/>
        <w:jc w:val="both"/>
        <w:rPr>
          <w:rFonts w:ascii="Times New Roman" w:hAnsi="Times New Roman" w:cs="Times New Roman"/>
          <w:b w:val="false"/>
          <w:b w:val="false"/>
          <w:bCs w:val="false"/>
        </w:rPr>
      </w:pPr>
      <w:r>
        <w:rPr>
          <w:rFonts w:cs="Times New Roman" w:ascii="Times New Roman" w:hAnsi="Times New Roman"/>
          <w:b w:val="false"/>
          <w:caps/>
          <w:color w:val="auto"/>
          <w:sz w:val="24"/>
          <w:szCs w:val="24"/>
        </w:rPr>
        <w:t>8.</w:t>
      </w:r>
      <w:r>
        <w:rPr>
          <w:rFonts w:cs="Times New Roman" w:ascii="Times New Roman" w:hAnsi="Times New Roman"/>
          <w:b w:val="false"/>
          <w:bCs w:val="false"/>
        </w:rPr>
        <w:t xml:space="preserve"> ОБЩИЙ ПОРЯДОК ПРОВЕДЕНИЯ КОНКУРЕНТНОЙ ЗАКУПКИ                             </w:t>
      </w:r>
      <w:r>
        <w:rPr>
          <w:rFonts w:cs="Times New Roman" w:ascii="Times New Roman" w:hAnsi="Times New Roman"/>
          <w:b w:val="false"/>
          <w:bCs w:val="false"/>
          <w:sz w:val="24"/>
          <w:szCs w:val="24"/>
        </w:rPr>
        <w:t>29</w:t>
      </w:r>
    </w:p>
    <w:p>
      <w:pPr>
        <w:pStyle w:val="Normal"/>
        <w:spacing w:lineRule="auto" w:line="276"/>
        <w:jc w:val="both"/>
        <w:rPr>
          <w:rFonts w:eastAsia="Calibri"/>
        </w:rPr>
      </w:pPr>
      <w:r>
        <w:rPr>
          <w:bCs/>
        </w:rPr>
        <w:t xml:space="preserve">8.1. Требования к </w:t>
      </w:r>
      <w:r>
        <w:rPr>
          <w:rFonts w:eastAsia="Calibri"/>
        </w:rPr>
        <w:t>описанию в документации о конкурентной закупке предмета закупки           31</w:t>
      </w:r>
    </w:p>
    <w:p>
      <w:pPr>
        <w:pStyle w:val="Normal"/>
        <w:spacing w:lineRule="auto" w:line="276"/>
        <w:jc w:val="both"/>
        <w:rPr>
          <w:bCs/>
        </w:rPr>
      </w:pPr>
      <w:r>
        <w:rPr>
          <w:bCs/>
        </w:rPr>
        <w:t>8.2. Требования к правоспособности участника закупок                                                                  31</w:t>
      </w:r>
    </w:p>
    <w:p>
      <w:pPr>
        <w:pStyle w:val="Normal"/>
        <w:spacing w:lineRule="auto" w:line="276"/>
        <w:jc w:val="both"/>
        <w:rPr>
          <w:bCs/>
        </w:rPr>
      </w:pPr>
      <w:r>
        <w:rPr>
          <w:bCs/>
        </w:rPr>
        <w:t>8.3. Требования к извещению о закупке                                                                                             33</w:t>
      </w:r>
    </w:p>
    <w:p>
      <w:pPr>
        <w:pStyle w:val="Normal"/>
        <w:spacing w:lineRule="auto" w:line="276"/>
        <w:jc w:val="both"/>
        <w:rPr>
          <w:bCs/>
        </w:rPr>
      </w:pPr>
      <w:r>
        <w:rPr>
          <w:bCs/>
        </w:rPr>
        <w:t>8.4. Требования к документации о закупке                                                                                        34</w:t>
      </w:r>
    </w:p>
    <w:p>
      <w:pPr>
        <w:pStyle w:val="Normal"/>
        <w:spacing w:lineRule="auto" w:line="276"/>
        <w:jc w:val="both"/>
        <w:rPr>
          <w:bCs/>
        </w:rPr>
      </w:pPr>
      <w:r>
        <w:rPr>
          <w:bCs/>
        </w:rPr>
        <w:t>8.5. Требования к протоколам, составленным в ходе осуществления и по результатам конкурентной закупки                                                                                                                          35</w:t>
      </w:r>
    </w:p>
    <w:p>
      <w:pPr>
        <w:pStyle w:val="Normal"/>
        <w:spacing w:lineRule="auto" w:line="276"/>
        <w:jc w:val="both"/>
        <w:rPr>
          <w:bCs/>
        </w:rPr>
      </w:pPr>
      <w:r>
        <w:rPr>
          <w:bCs/>
        </w:rPr>
        <w:t xml:space="preserve">8.6. Требования к комиссии по </w:t>
      </w:r>
      <w:r>
        <w:rPr>
          <w:rFonts w:eastAsia="Calibri"/>
        </w:rPr>
        <w:t xml:space="preserve">осуществлению конкурентной </w:t>
      </w:r>
      <w:r>
        <w:rPr>
          <w:bCs/>
        </w:rPr>
        <w:t>закупки                                        36</w:t>
      </w:r>
    </w:p>
    <w:p>
      <w:pPr>
        <w:pStyle w:val="Normal"/>
        <w:spacing w:lineRule="auto" w:line="276"/>
        <w:jc w:val="both"/>
        <w:rPr>
          <w:bCs/>
        </w:rPr>
      </w:pPr>
      <w:r>
        <w:rPr>
          <w:bCs/>
        </w:rPr>
        <w:t>9. ПОРЯДОК ПРОВЕДЕНИЯ КОНКУРСА                                                                                       37</w:t>
      </w:r>
    </w:p>
    <w:p>
      <w:pPr>
        <w:pStyle w:val="Normal"/>
        <w:spacing w:lineRule="auto" w:line="276"/>
        <w:jc w:val="both"/>
        <w:rPr>
          <w:bCs/>
        </w:rPr>
      </w:pPr>
      <w:r>
        <w:rPr>
          <w:bCs/>
        </w:rPr>
        <w:t xml:space="preserve">9.1. Общий порядок проведения открытого конкурса                                                                      37 </w:t>
      </w:r>
    </w:p>
    <w:p>
      <w:pPr>
        <w:pStyle w:val="Normal"/>
        <w:spacing w:lineRule="auto" w:line="276"/>
        <w:jc w:val="both"/>
        <w:rPr>
          <w:bCs/>
        </w:rPr>
      </w:pPr>
      <w:r>
        <w:rPr>
          <w:bCs/>
        </w:rPr>
        <w:t>9.2. Извещение о проведении открытого конкурса                                                                           38</w:t>
      </w:r>
    </w:p>
    <w:p>
      <w:pPr>
        <w:pStyle w:val="Normal"/>
        <w:spacing w:lineRule="auto" w:line="276"/>
        <w:jc w:val="both"/>
        <w:rPr>
          <w:bCs/>
        </w:rPr>
      </w:pPr>
      <w:r>
        <w:rPr>
          <w:bCs/>
        </w:rPr>
        <w:t xml:space="preserve">9.3. Конкурсная документация                                                                                                            38 </w:t>
      </w:r>
    </w:p>
    <w:p>
      <w:pPr>
        <w:pStyle w:val="Normal"/>
        <w:spacing w:lineRule="auto" w:line="276"/>
        <w:jc w:val="both"/>
        <w:rPr>
          <w:bCs/>
        </w:rPr>
      </w:pPr>
      <w:r>
        <w:rPr>
          <w:bCs/>
        </w:rPr>
        <w:t>9.4. Отказ от проведения конкурса                                                                                                     39</w:t>
      </w:r>
    </w:p>
    <w:p>
      <w:pPr>
        <w:pStyle w:val="Normal"/>
        <w:spacing w:lineRule="auto" w:line="276"/>
        <w:jc w:val="both"/>
        <w:rPr>
          <w:bCs/>
        </w:rPr>
      </w:pPr>
      <w:r>
        <w:rPr>
          <w:bCs/>
        </w:rPr>
        <w:t>9.5. Требования к конкурсной заявке                                                                                                 40</w:t>
      </w:r>
    </w:p>
    <w:p>
      <w:pPr>
        <w:pStyle w:val="Normal"/>
        <w:spacing w:lineRule="auto" w:line="276"/>
        <w:jc w:val="both"/>
        <w:rPr/>
      </w:pPr>
      <w:r>
        <w:rPr>
          <w:bCs/>
        </w:rPr>
        <w:t>9.6. Обеспечение конкурсной заявки                                                                                                  43</w:t>
      </w:r>
    </w:p>
    <w:p>
      <w:pPr>
        <w:pStyle w:val="Normal"/>
        <w:spacing w:lineRule="auto" w:line="276"/>
        <w:jc w:val="both"/>
        <w:rPr>
          <w:bCs/>
        </w:rPr>
      </w:pPr>
      <w:r>
        <w:rPr>
          <w:bCs/>
        </w:rPr>
        <w:t>9.7. Порядок приема конкурсных заявок                                                                                            44</w:t>
      </w:r>
    </w:p>
    <w:p>
      <w:pPr>
        <w:pStyle w:val="Normal"/>
        <w:spacing w:lineRule="auto" w:line="276"/>
        <w:jc w:val="both"/>
        <w:rPr>
          <w:bCs/>
        </w:rPr>
      </w:pPr>
      <w:r>
        <w:rPr>
          <w:bCs/>
        </w:rPr>
        <w:t>9.8. Вскрытие конвертов с конкурсными заявками                                                                           44</w:t>
      </w:r>
    </w:p>
    <w:p>
      <w:pPr>
        <w:pStyle w:val="Normal"/>
        <w:spacing w:lineRule="auto" w:line="276"/>
        <w:jc w:val="both"/>
        <w:rPr>
          <w:bCs/>
        </w:rPr>
      </w:pPr>
      <w:r>
        <w:rPr>
          <w:bCs/>
        </w:rPr>
        <w:t>9.9. Оценка и сопоставление конкурсных заявок                                                                              45</w:t>
      </w:r>
    </w:p>
    <w:p>
      <w:pPr>
        <w:pStyle w:val="Normal"/>
        <w:spacing w:lineRule="auto" w:line="276"/>
        <w:jc w:val="both"/>
        <w:rPr>
          <w:bCs/>
        </w:rPr>
      </w:pPr>
      <w:r>
        <w:rPr>
          <w:bCs/>
        </w:rPr>
        <w:t>9.10. Определение победителя конкурса                                                                                            48</w:t>
      </w:r>
    </w:p>
    <w:p>
      <w:pPr>
        <w:pStyle w:val="Normal"/>
        <w:spacing w:lineRule="auto" w:line="276"/>
        <w:jc w:val="both"/>
        <w:rPr>
          <w:bCs/>
        </w:rPr>
      </w:pPr>
      <w:r>
        <w:rPr>
          <w:bCs/>
        </w:rPr>
        <w:t>9.11. Последствия признания конкурса несостоявшимся                                                                 49</w:t>
      </w:r>
    </w:p>
    <w:p>
      <w:pPr>
        <w:pStyle w:val="Normal"/>
        <w:spacing w:lineRule="auto" w:line="276"/>
        <w:jc w:val="both"/>
        <w:rPr>
          <w:bCs/>
        </w:rPr>
      </w:pPr>
      <w:r>
        <w:rPr>
          <w:bCs/>
        </w:rPr>
        <w:t>10. ОСОБЕННОСТИ ПРОВЕДЕНИЯ КОНКУРСА В ЭЛЕКТРОННОЙ ФОРМЕ                         49</w:t>
      </w:r>
    </w:p>
    <w:p>
      <w:pPr>
        <w:pStyle w:val="Normal"/>
        <w:spacing w:lineRule="auto" w:line="276"/>
        <w:jc w:val="both"/>
        <w:rPr>
          <w:bCs/>
        </w:rPr>
      </w:pPr>
      <w:r>
        <w:rPr>
          <w:bCs/>
        </w:rPr>
        <w:t>11. ОСОБЕННОСТИ ПРОВЕДЕНИЯ ЗАКРЫТОГО КОНКУРСА                                                  49</w:t>
      </w:r>
    </w:p>
    <w:p>
      <w:pPr>
        <w:pStyle w:val="Normal"/>
        <w:spacing w:lineRule="auto" w:line="276"/>
        <w:jc w:val="both"/>
        <w:rPr>
          <w:bCs/>
        </w:rPr>
      </w:pPr>
      <w:r>
        <w:rPr>
          <w:bCs/>
        </w:rPr>
        <w:t>12. ПОРЯДОК ПРОВЕДЕНИЯ ОТКРЫТОГО АУКЦИОНА                                                           49</w:t>
      </w:r>
    </w:p>
    <w:p>
      <w:pPr>
        <w:pStyle w:val="Normal"/>
        <w:spacing w:lineRule="auto" w:line="276"/>
        <w:jc w:val="both"/>
        <w:rPr>
          <w:bCs/>
        </w:rPr>
      </w:pPr>
      <w:r>
        <w:rPr>
          <w:bCs/>
        </w:rPr>
        <w:t xml:space="preserve">12.1. Общий порядок проведения открытого аукциона                                                                    49 </w:t>
      </w:r>
    </w:p>
    <w:p>
      <w:pPr>
        <w:pStyle w:val="Normal"/>
        <w:spacing w:lineRule="auto" w:line="276"/>
        <w:jc w:val="both"/>
        <w:rPr>
          <w:bCs/>
        </w:rPr>
      </w:pPr>
      <w:r>
        <w:rPr>
          <w:bCs/>
        </w:rPr>
        <w:t>12.2. Извещение о проведении открытого аукциона                                                                         50</w:t>
      </w:r>
    </w:p>
    <w:p>
      <w:pPr>
        <w:pStyle w:val="Normal"/>
        <w:spacing w:lineRule="auto" w:line="276"/>
        <w:jc w:val="both"/>
        <w:rPr>
          <w:bCs/>
        </w:rPr>
      </w:pPr>
      <w:r>
        <w:rPr>
          <w:bCs/>
        </w:rPr>
        <w:t>12.3. Аукционная документация                                                                                                          51</w:t>
      </w:r>
    </w:p>
    <w:p>
      <w:pPr>
        <w:pStyle w:val="Normal"/>
        <w:spacing w:lineRule="auto" w:line="276"/>
        <w:jc w:val="both"/>
        <w:rPr>
          <w:bCs/>
        </w:rPr>
      </w:pPr>
      <w:r>
        <w:rPr>
          <w:bCs/>
        </w:rPr>
        <w:t xml:space="preserve">12.4. Отказ от проведения аукциона                                                                                                    52 </w:t>
      </w:r>
    </w:p>
    <w:p>
      <w:pPr>
        <w:pStyle w:val="Normal"/>
        <w:spacing w:lineRule="auto" w:line="276"/>
        <w:jc w:val="both"/>
        <w:rPr>
          <w:bCs/>
        </w:rPr>
      </w:pPr>
      <w:r>
        <w:rPr>
          <w:bCs/>
        </w:rPr>
        <w:t>12.5. Требования к аукционной заявке                                                                                                52</w:t>
      </w:r>
    </w:p>
    <w:p>
      <w:pPr>
        <w:pStyle w:val="Normal"/>
        <w:spacing w:lineRule="auto" w:line="276"/>
        <w:jc w:val="both"/>
        <w:rPr>
          <w:bCs/>
        </w:rPr>
      </w:pPr>
      <w:r>
        <w:rPr>
          <w:bCs/>
        </w:rPr>
        <w:t>12.6. Обеспечение аукционной заявки                                                                                                55</w:t>
      </w:r>
    </w:p>
    <w:p>
      <w:pPr>
        <w:pStyle w:val="Normal"/>
        <w:spacing w:lineRule="auto" w:line="276"/>
        <w:jc w:val="both"/>
        <w:rPr>
          <w:bCs/>
        </w:rPr>
      </w:pPr>
      <w:r>
        <w:rPr>
          <w:bCs/>
        </w:rPr>
        <w:t>12.7. Порядок приема аукционных заявок                                                                                          56</w:t>
      </w:r>
    </w:p>
    <w:p>
      <w:pPr>
        <w:pStyle w:val="Normal"/>
        <w:spacing w:lineRule="auto" w:line="276"/>
        <w:jc w:val="both"/>
        <w:rPr>
          <w:bCs/>
        </w:rPr>
      </w:pPr>
      <w:r>
        <w:rPr>
          <w:bCs/>
        </w:rPr>
        <w:t>12.8. Рассмотрение аукционных заявок                                                                                               57</w:t>
      </w:r>
    </w:p>
    <w:p>
      <w:pPr>
        <w:pStyle w:val="Normal"/>
        <w:spacing w:lineRule="auto" w:line="276"/>
        <w:jc w:val="both"/>
        <w:rPr>
          <w:bCs/>
        </w:rPr>
      </w:pPr>
      <w:r>
        <w:rPr>
          <w:bCs/>
        </w:rPr>
        <w:t>12.9. Последствия признания аукциона несостоявшимся                                                                 58</w:t>
      </w:r>
    </w:p>
    <w:p>
      <w:pPr>
        <w:pStyle w:val="Normal"/>
        <w:spacing w:lineRule="auto" w:line="276"/>
        <w:jc w:val="both"/>
        <w:rPr>
          <w:bCs/>
        </w:rPr>
      </w:pPr>
      <w:r>
        <w:rPr>
          <w:bCs/>
        </w:rPr>
        <w:t>13. ОСОБЕННОСТИ ПРОВЕДЕНИЯ АУКЦИОНА НА ПРАВО ЗАКЛЮЧИТЬ ДОГОВОР       58</w:t>
      </w:r>
    </w:p>
    <w:p>
      <w:pPr>
        <w:pStyle w:val="Normal"/>
        <w:spacing w:lineRule="auto" w:line="276"/>
        <w:jc w:val="both"/>
        <w:rPr>
          <w:bCs/>
        </w:rPr>
      </w:pPr>
      <w:r>
        <w:rPr>
          <w:bCs/>
        </w:rPr>
        <w:t>14. ОСОБЕННОСТИ ПРОВЕДЕНИЯ ЭЛЕКТРОННОГО АУКЦИОНА                                         59</w:t>
      </w:r>
    </w:p>
    <w:p>
      <w:pPr>
        <w:pStyle w:val="Normal"/>
        <w:spacing w:lineRule="auto" w:line="276"/>
        <w:jc w:val="both"/>
        <w:rPr>
          <w:bCs/>
        </w:rPr>
      </w:pPr>
      <w:r>
        <w:rPr>
          <w:bCs/>
        </w:rPr>
        <w:t>15. ОСОБЕННОСТИ ПРОВЕДЕНИЯ ЗАКРЫТОГО АУКЦИОНА                                                 59</w:t>
      </w:r>
    </w:p>
    <w:p>
      <w:pPr>
        <w:pStyle w:val="Normal"/>
        <w:spacing w:lineRule="auto" w:line="276"/>
        <w:jc w:val="both"/>
        <w:rPr>
          <w:bCs/>
        </w:rPr>
      </w:pPr>
      <w:r>
        <w:rPr>
          <w:bCs/>
        </w:rPr>
        <w:t>16. ПОРЯДОК ПРОВЕДЕНИЯ ЗАПРОСА ПРЕДЛОЖЕНИЙ                                                         59</w:t>
      </w:r>
    </w:p>
    <w:p>
      <w:pPr>
        <w:pStyle w:val="Normal"/>
        <w:spacing w:lineRule="auto" w:line="276"/>
        <w:jc w:val="both"/>
        <w:rPr>
          <w:bCs/>
        </w:rPr>
      </w:pPr>
      <w:r>
        <w:rPr>
          <w:bCs/>
        </w:rPr>
        <w:t>16.1. Общий порядок проведения запроса предложений                                                                  59</w:t>
      </w:r>
    </w:p>
    <w:p>
      <w:pPr>
        <w:pStyle w:val="Normal"/>
        <w:spacing w:lineRule="auto" w:line="276"/>
        <w:jc w:val="both"/>
        <w:rPr>
          <w:bCs/>
        </w:rPr>
      </w:pPr>
      <w:r>
        <w:rPr>
          <w:bCs/>
        </w:rPr>
        <w:t xml:space="preserve">16.2. Извещение о проведении открытого запроса предложений                                                    60 </w:t>
      </w:r>
    </w:p>
    <w:p>
      <w:pPr>
        <w:pStyle w:val="Normal"/>
        <w:spacing w:lineRule="auto" w:line="276"/>
        <w:jc w:val="both"/>
        <w:rPr>
          <w:bCs/>
        </w:rPr>
      </w:pPr>
      <w:r>
        <w:rPr>
          <w:bCs/>
        </w:rPr>
        <w:t>16.3. Документация о проведении запроса предложений                                                                 60</w:t>
      </w:r>
    </w:p>
    <w:p>
      <w:pPr>
        <w:pStyle w:val="Normal"/>
        <w:spacing w:lineRule="auto" w:line="276"/>
        <w:jc w:val="both"/>
        <w:rPr>
          <w:bCs/>
        </w:rPr>
      </w:pPr>
      <w:r>
        <w:rPr>
          <w:bCs/>
        </w:rPr>
        <w:t>16.4. Отказ от проведения запроса предложений                                                                               61</w:t>
      </w:r>
    </w:p>
    <w:p>
      <w:pPr>
        <w:pStyle w:val="Normal"/>
        <w:spacing w:lineRule="auto" w:line="276"/>
        <w:jc w:val="both"/>
        <w:rPr>
          <w:bCs/>
        </w:rPr>
      </w:pPr>
      <w:r>
        <w:rPr>
          <w:bCs/>
        </w:rPr>
        <w:t>16.5. Требования к заявке на участие в запросе предложений                                                          61</w:t>
      </w:r>
    </w:p>
    <w:p>
      <w:pPr>
        <w:pStyle w:val="Normal"/>
        <w:spacing w:lineRule="auto" w:line="276"/>
        <w:jc w:val="both"/>
        <w:rPr>
          <w:bCs/>
        </w:rPr>
      </w:pPr>
      <w:r>
        <w:rPr>
          <w:bCs/>
        </w:rPr>
        <w:t>16.6. Обеспечение заявки на участие в запросе предложений                                                          62</w:t>
      </w:r>
    </w:p>
    <w:p>
      <w:pPr>
        <w:pStyle w:val="Normal"/>
        <w:spacing w:lineRule="auto" w:line="276"/>
        <w:jc w:val="both"/>
        <w:rPr>
          <w:bCs/>
        </w:rPr>
      </w:pPr>
      <w:r>
        <w:rPr>
          <w:bCs/>
        </w:rPr>
        <w:t>16.7. Порядок приема заявок на участие в запросе предложений                                                    64</w:t>
      </w:r>
    </w:p>
    <w:p>
      <w:pPr>
        <w:pStyle w:val="Normal"/>
        <w:spacing w:lineRule="auto" w:line="276"/>
        <w:jc w:val="both"/>
        <w:rPr>
          <w:bCs/>
        </w:rPr>
      </w:pPr>
      <w:r>
        <w:rPr>
          <w:bCs/>
        </w:rPr>
        <w:t>16.8. Оценка и сопоставление заявок на участие в запросе предложений                                       65</w:t>
      </w:r>
    </w:p>
    <w:p>
      <w:pPr>
        <w:pStyle w:val="Normal"/>
        <w:spacing w:lineRule="auto" w:line="276"/>
        <w:jc w:val="both"/>
        <w:rPr>
          <w:bCs/>
        </w:rPr>
      </w:pPr>
      <w:r>
        <w:rPr>
          <w:bCs/>
        </w:rPr>
        <w:t>16.9. Определение победителя запроса предложений                                                                       65</w:t>
      </w:r>
    </w:p>
    <w:p>
      <w:pPr>
        <w:pStyle w:val="Normal"/>
        <w:spacing w:lineRule="auto" w:line="276"/>
        <w:jc w:val="both"/>
        <w:rPr>
          <w:bCs/>
        </w:rPr>
      </w:pPr>
      <w:r>
        <w:rPr>
          <w:bCs/>
        </w:rPr>
        <w:t>16.10. Последствия признания запроса предложений несостоявшимся                                          65</w:t>
      </w:r>
    </w:p>
    <w:p>
      <w:pPr>
        <w:pStyle w:val="Normal"/>
        <w:spacing w:lineRule="auto" w:line="276"/>
        <w:jc w:val="right"/>
        <w:rPr>
          <w:bCs/>
        </w:rPr>
      </w:pPr>
      <w:r>
        <w:rPr>
          <w:bCs/>
        </w:rPr>
        <w:t>17. ОСОБЕННОСТИ ПРОВЕДЕНИЯ ЗАКРЫТОГО ЗАПРОСА ПРЕДЛОЖЕНИЙ                     65</w:t>
      </w:r>
    </w:p>
    <w:p>
      <w:pPr>
        <w:pStyle w:val="Normal"/>
        <w:spacing w:lineRule="auto" w:line="276"/>
        <w:jc w:val="both"/>
        <w:rPr>
          <w:bCs/>
        </w:rPr>
      </w:pPr>
      <w:r>
        <w:rPr>
          <w:bCs/>
        </w:rPr>
        <w:t>18. ПОРЯДОК ПРОВЕДЕНИЯ ЗАПРОСА КОТИРОВОК                                                                66</w:t>
      </w:r>
    </w:p>
    <w:p>
      <w:pPr>
        <w:pStyle w:val="Normal"/>
        <w:spacing w:lineRule="auto" w:line="276"/>
        <w:jc w:val="both"/>
        <w:rPr>
          <w:bCs/>
        </w:rPr>
      </w:pPr>
      <w:r>
        <w:rPr>
          <w:bCs/>
        </w:rPr>
        <w:t>18.1. Общий порядок проведения запроса котировок                                                                        66</w:t>
      </w:r>
    </w:p>
    <w:p>
      <w:pPr>
        <w:pStyle w:val="Normal"/>
        <w:spacing w:lineRule="auto" w:line="276"/>
        <w:jc w:val="both"/>
        <w:rPr>
          <w:bCs/>
        </w:rPr>
      </w:pPr>
      <w:r>
        <w:rPr>
          <w:bCs/>
        </w:rPr>
        <w:t>18.2. Извещение о проведении запроса котировок                                                                             66</w:t>
      </w:r>
    </w:p>
    <w:p>
      <w:pPr>
        <w:pStyle w:val="Normal"/>
        <w:spacing w:lineRule="auto" w:line="276"/>
        <w:jc w:val="both"/>
        <w:rPr>
          <w:bCs/>
        </w:rPr>
      </w:pPr>
      <w:r>
        <w:rPr>
          <w:bCs/>
        </w:rPr>
        <w:t>18.3. Документация о проведении запроса котировок                                                                       67</w:t>
      </w:r>
    </w:p>
    <w:p>
      <w:pPr>
        <w:pStyle w:val="Normal"/>
        <w:spacing w:lineRule="auto" w:line="276"/>
        <w:jc w:val="both"/>
        <w:rPr>
          <w:bCs/>
        </w:rPr>
      </w:pPr>
      <w:r>
        <w:rPr>
          <w:bCs/>
        </w:rPr>
        <w:t>18.4. Отказ от проведения запроса котировок                                                                                     67</w:t>
      </w:r>
    </w:p>
    <w:p>
      <w:pPr>
        <w:pStyle w:val="Normal"/>
        <w:spacing w:lineRule="auto" w:line="276"/>
        <w:jc w:val="both"/>
        <w:rPr>
          <w:bCs/>
        </w:rPr>
      </w:pPr>
      <w:r>
        <w:rPr>
          <w:bCs/>
        </w:rPr>
        <w:t>18.5. Требования к котировочной заявке                                                                                            67</w:t>
      </w:r>
    </w:p>
    <w:p>
      <w:pPr>
        <w:pStyle w:val="Normal"/>
        <w:spacing w:lineRule="auto" w:line="276"/>
        <w:jc w:val="both"/>
        <w:rPr>
          <w:bCs/>
        </w:rPr>
      </w:pPr>
      <w:r>
        <w:rPr>
          <w:bCs/>
        </w:rPr>
        <w:t>18.6. Порядок приема котировочных заявок                                                                                      68</w:t>
      </w:r>
    </w:p>
    <w:p>
      <w:pPr>
        <w:pStyle w:val="Normal"/>
        <w:spacing w:lineRule="auto" w:line="276"/>
        <w:jc w:val="both"/>
        <w:rPr>
          <w:bCs/>
        </w:rPr>
      </w:pPr>
      <w:r>
        <w:rPr>
          <w:bCs/>
        </w:rPr>
        <w:t>18.7. Рассмотрение и оценка котировочных заявок                                                                           68</w:t>
      </w:r>
    </w:p>
    <w:p>
      <w:pPr>
        <w:pStyle w:val="Normal"/>
        <w:spacing w:lineRule="auto" w:line="276"/>
        <w:jc w:val="both"/>
        <w:rPr>
          <w:bCs/>
        </w:rPr>
      </w:pPr>
      <w:r>
        <w:rPr>
          <w:bCs/>
        </w:rPr>
        <w:t xml:space="preserve">18.8. Последствия признания запроса котировок несостоявшимся                                                 69  </w:t>
      </w:r>
    </w:p>
    <w:p>
      <w:pPr>
        <w:pStyle w:val="Normal"/>
        <w:spacing w:lineRule="auto" w:line="276"/>
        <w:jc w:val="both"/>
        <w:rPr>
          <w:bCs/>
        </w:rPr>
      </w:pPr>
      <w:r>
        <w:rPr>
          <w:bCs/>
        </w:rPr>
        <w:t>19. ОСОБЕННОСТИ ПРОВЕДЕНИЯ ЗАКРЫТОГО ЗАПРОСА КОТИРОВОК                            70</w:t>
      </w:r>
    </w:p>
    <w:p>
      <w:pPr>
        <w:pStyle w:val="Normal"/>
        <w:spacing w:lineRule="auto" w:line="276"/>
        <w:jc w:val="both"/>
        <w:rPr>
          <w:bCs/>
        </w:rPr>
      </w:pPr>
      <w:r>
        <w:rPr>
          <w:bCs/>
        </w:rPr>
        <w:t xml:space="preserve">20. ОСОБЕННОСТИ ОСУЩЕСТВЛЕНИЯ КОНКУРЕНТНОЙ ЗАКУПКИ В ЭЛЕКТРОННОЙ ФОРМЕ                                                                                                                                                   70 </w:t>
      </w:r>
    </w:p>
    <w:p>
      <w:pPr>
        <w:pStyle w:val="Normal"/>
        <w:spacing w:lineRule="auto" w:line="276"/>
        <w:jc w:val="both"/>
        <w:rPr>
          <w:caps/>
        </w:rPr>
      </w:pPr>
      <w:r>
        <w:rPr>
          <w:bCs/>
        </w:rPr>
        <w:t xml:space="preserve">21. ПОРЯДОК ПОДГОТОВКИ И ОСУЩЕСТВЛЕНИЯ ЗАКУПКИ У ЕДИНСТВЕННОГО </w:t>
      </w:r>
      <w:r>
        <w:rPr>
          <w:caps/>
        </w:rPr>
        <w:t>поставщика (исполнителя, подрядчика)                                                                      71</w:t>
      </w:r>
    </w:p>
    <w:p>
      <w:pPr>
        <w:pStyle w:val="Normal"/>
        <w:spacing w:lineRule="auto" w:line="276"/>
        <w:jc w:val="both"/>
        <w:rPr>
          <w:lang w:eastAsia="en-US"/>
        </w:rPr>
      </w:pPr>
      <w:r>
        <w:rPr>
          <w:lang w:eastAsia="en-US"/>
        </w:rPr>
        <w:t>22. ПУБЛИЧНАЯ НЕКОНКУРЕНТНАЯ ЗАКУПКА                                                                        72</w:t>
      </w:r>
    </w:p>
    <w:p>
      <w:pPr>
        <w:pStyle w:val="Normal"/>
        <w:spacing w:lineRule="auto" w:line="276"/>
        <w:jc w:val="both"/>
        <w:rPr>
          <w:lang w:eastAsia="en-US"/>
        </w:rPr>
      </w:pPr>
      <w:r>
        <w:rPr>
          <w:lang w:eastAsia="en-US"/>
        </w:rPr>
        <w:t>22.1. Общий порядок публичной неконкурентной закупки                                                              72</w:t>
      </w:r>
    </w:p>
    <w:p>
      <w:pPr>
        <w:pStyle w:val="Normal"/>
        <w:spacing w:lineRule="auto" w:line="276"/>
        <w:jc w:val="both"/>
        <w:rPr/>
      </w:pPr>
      <w:r>
        <w:rPr/>
        <w:t>22.2. Извещение и документация о публичной неконкурентной закупке                                       72</w:t>
      </w:r>
    </w:p>
    <w:p>
      <w:pPr>
        <w:pStyle w:val="14"/>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t xml:space="preserve">23. ПРЯМАЯ БЕЗАЛЬТЕРНАТИВНАЯ ЗАКУПКА                                                                         73 </w:t>
      </w:r>
    </w:p>
    <w:p>
      <w:pPr>
        <w:pStyle w:val="14"/>
        <w:spacing w:before="0" w:after="0"/>
        <w:ind w:left="0" w:hanging="0"/>
        <w:jc w:val="both"/>
        <w:rPr>
          <w:rFonts w:ascii="Times New Roman" w:hAnsi="Times New Roman" w:cs="Times New Roman"/>
          <w:sz w:val="24"/>
          <w:szCs w:val="24"/>
        </w:rPr>
      </w:pPr>
      <w:r>
        <w:rPr>
          <w:rFonts w:cs="Times New Roman" w:ascii="Times New Roman" w:hAnsi="Times New Roman"/>
          <w:sz w:val="24"/>
          <w:szCs w:val="24"/>
        </w:rPr>
        <w:t>23.1. Общий порядок прямой безальтернативной закупки                                                               73</w:t>
      </w:r>
    </w:p>
    <w:p>
      <w:pPr>
        <w:pStyle w:val="Normal"/>
        <w:spacing w:lineRule="auto" w:line="276"/>
        <w:jc w:val="both"/>
        <w:rPr>
          <w:lang w:eastAsia="en-US"/>
        </w:rPr>
      </w:pPr>
      <w:r>
        <w:rPr>
          <w:lang w:eastAsia="en-US"/>
        </w:rPr>
        <w:t>23.2. Извещение и документация о прямой безальтернативной закупке                                        74</w:t>
      </w:r>
    </w:p>
    <w:p>
      <w:pPr>
        <w:pStyle w:val="Normal"/>
        <w:spacing w:lineRule="auto" w:line="276"/>
        <w:jc w:val="both"/>
        <w:rPr>
          <w:bCs/>
        </w:rPr>
      </w:pPr>
      <w:r>
        <w:rPr>
          <w:bCs/>
        </w:rPr>
        <w:t xml:space="preserve">24.  </w:t>
      </w:r>
      <w:r>
        <w:rPr/>
        <w:t>ПОРЯДОК ОПРЕДЕЛЕНИЯ И ОБОСНОВАНИЯ НАЧАЛЬНОЙ (МАКСИМАЛЬНОЙ) ЦЕНЫ ДОГОВОРА</w:t>
        <w:tab/>
        <w:tab/>
        <w:tab/>
        <w:tab/>
        <w:tab/>
        <w:tab/>
        <w:tab/>
        <w:tab/>
        <w:tab/>
        <w:tab/>
        <w:t xml:space="preserve">                   74</w:t>
      </w:r>
    </w:p>
    <w:p>
      <w:pPr>
        <w:pStyle w:val="Normal"/>
        <w:spacing w:lineRule="auto" w:line="276"/>
        <w:jc w:val="both"/>
        <w:rPr>
          <w:bCs/>
        </w:rPr>
      </w:pPr>
      <w:r>
        <w:rPr>
          <w:bCs/>
        </w:rPr>
        <w:t>25. ЗАКЛЮЧЕНИЕ И ИСПОЛНЕНИЕ ДОГОВОРА                                                                        78</w:t>
      </w:r>
    </w:p>
    <w:p>
      <w:pPr>
        <w:pStyle w:val="Normal"/>
        <w:tabs>
          <w:tab w:val="left" w:pos="945" w:leader="none"/>
        </w:tabs>
        <w:spacing w:lineRule="auto" w:line="276"/>
        <w:jc w:val="both"/>
        <w:rPr/>
      </w:pPr>
      <w:r>
        <w:rPr>
          <w:color w:val="000000"/>
        </w:rPr>
        <w:t>26. ЗАКЛЮЧИТЕЛЬНЫЕ ПОЛОЖЕНИЯ                                                                                         82</w:t>
      </w:r>
    </w:p>
    <w:p>
      <w:pPr>
        <w:pStyle w:val="Normal"/>
        <w:spacing w:lineRule="auto" w:line="276"/>
        <w:jc w:val="both"/>
        <w:rPr/>
      </w:pPr>
      <w:r>
        <w:rPr/>
      </w:r>
    </w:p>
    <w:p>
      <w:pPr>
        <w:pStyle w:val="Normal"/>
        <w:shd w:val="clear" w:color="auto" w:fill="FFFFFF"/>
        <w:jc w:val="center"/>
        <w:rPr/>
      </w:pPr>
      <w:r>
        <w:rPr>
          <w:b/>
          <w:color w:val="000000"/>
        </w:rPr>
        <w:t>1. ОБЩИЕ ПОЛОЖЕНИЯ</w:t>
      </w:r>
      <w:bookmarkStart w:id="2" w:name="_Hlk533590130"/>
      <w:bookmarkEnd w:id="2"/>
    </w:p>
    <w:p>
      <w:pPr>
        <w:pStyle w:val="Normal"/>
        <w:shd w:val="clear" w:color="auto" w:fill="FFFFFF"/>
        <w:tabs>
          <w:tab w:val="left" w:pos="900" w:leader="none"/>
        </w:tabs>
        <w:ind w:firstLine="720"/>
        <w:jc w:val="both"/>
        <w:rPr>
          <w:b/>
          <w:b/>
          <w:color w:val="000000"/>
        </w:rPr>
      </w:pPr>
      <w:r>
        <w:rPr>
          <w:b/>
          <w:color w:val="000000"/>
        </w:rPr>
        <w:t> </w:t>
      </w:r>
    </w:p>
    <w:p>
      <w:pPr>
        <w:pStyle w:val="ConsNormal"/>
        <w:widowControl/>
        <w:tabs>
          <w:tab w:val="left" w:pos="900" w:leader="none"/>
        </w:tabs>
        <w:ind w:firstLine="567"/>
        <w:jc w:val="both"/>
        <w:rPr>
          <w:rFonts w:ascii="Times New Roman" w:hAnsi="Times New Roman" w:cs="Times New Roman"/>
          <w:sz w:val="24"/>
          <w:szCs w:val="24"/>
        </w:rPr>
      </w:pPr>
      <w:r>
        <w:rPr>
          <w:rFonts w:cs="Times New Roman" w:ascii="Times New Roman" w:hAnsi="Times New Roman"/>
          <w:sz w:val="24"/>
          <w:szCs w:val="24"/>
        </w:rPr>
        <w:t>1.1.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 июля 2011 года № 223</w:t>
        <w:noBreakHyphen/>
        <w:t xml:space="preserve">ФЗ </w:t>
      </w:r>
      <w:bookmarkStart w:id="3" w:name="_Hlk485824286"/>
      <w:r>
        <w:rPr>
          <w:rFonts w:cs="Times New Roman" w:ascii="Times New Roman" w:hAnsi="Times New Roman"/>
          <w:sz w:val="24"/>
          <w:szCs w:val="24"/>
        </w:rPr>
        <w:t>"О закупках товаров, работ, услуг отдельными видами юридических лиц"</w:t>
      </w:r>
      <w:bookmarkEnd w:id="3"/>
      <w:r>
        <w:rPr>
          <w:rFonts w:cs="Times New Roman" w:ascii="Times New Roman" w:hAnsi="Times New Roman"/>
          <w:sz w:val="24"/>
          <w:szCs w:val="24"/>
        </w:rPr>
        <w:t xml:space="preserve"> (далее Федеральный закон № 223-ФЗ),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w:t>
      </w:r>
    </w:p>
    <w:p>
      <w:pPr>
        <w:pStyle w:val="Normal"/>
        <w:ind w:firstLine="567"/>
        <w:jc w:val="both"/>
        <w:rPr/>
      </w:pPr>
      <w:r>
        <w:rPr/>
        <w:t xml:space="preserve">1.2. Настоящее Положение о закупке является документом, который регламентирует закупочную деятельность ОГУП «Липецкфармация» (далее – Предприятие, Заказчик), содержит требования к закупке, в том числе </w:t>
      </w:r>
      <w:r>
        <w:rPr>
          <w:rFonts w:eastAsia="Calibri"/>
        </w:rPr>
        <w:t xml:space="preserve">порядок подготовки и осуществления закупок способами, указанными в </w:t>
      </w:r>
      <w:hyperlink r:id="rId2">
        <w:r>
          <w:rPr>
            <w:rStyle w:val="ListLabel2"/>
            <w:rFonts w:eastAsia="Calibri"/>
          </w:rPr>
          <w:t>частях 3.1</w:t>
        </w:r>
      </w:hyperlink>
      <w:r>
        <w:rPr>
          <w:rFonts w:eastAsia="Calibri"/>
        </w:rPr>
        <w:t xml:space="preserve"> и </w:t>
      </w:r>
      <w:hyperlink r:id="rId3">
        <w:r>
          <w:rPr>
            <w:rStyle w:val="ListLabel2"/>
            <w:rFonts w:eastAsia="Calibri"/>
          </w:rPr>
          <w:t>3.2 статьи 3</w:t>
        </w:r>
      </w:hyperlink>
      <w:r>
        <w:rPr>
          <w:rFonts w:eastAsia="Calibri"/>
        </w:rPr>
        <w:t xml:space="preserve"> Федерального закона № 223-ФЗ, порядок и условия их применения, порядок заключения и исполнения договоров </w:t>
      </w:r>
      <w:r>
        <w:rPr/>
        <w:t>на поставку товаров, выполнение работ, оказание услуг для ОГУП «Липецкфармация»,</w:t>
      </w:r>
      <w:r>
        <w:rPr>
          <w:rFonts w:eastAsia="Calibri"/>
        </w:rPr>
        <w:t xml:space="preserve"> а также иные связанные с обеспечением закупки положения </w:t>
      </w:r>
      <w:r>
        <w:rPr/>
        <w:t>в случае закупки:</w:t>
      </w:r>
    </w:p>
    <w:p>
      <w:pPr>
        <w:pStyle w:val="Normal"/>
        <w:ind w:firstLine="567"/>
        <w:jc w:val="both"/>
        <w:rPr>
          <w:rFonts w:eastAsia="Calibri"/>
          <w:bCs/>
        </w:rPr>
      </w:pPr>
      <w:r>
        <w:rPr>
          <w:rFonts w:eastAsia="Calibri"/>
          <w:bCs/>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Normal"/>
        <w:ind w:firstLine="567"/>
        <w:jc w:val="both"/>
        <w:rPr/>
      </w:pPr>
      <w:r>
        <w:rPr>
          <w:rFonts w:eastAsia="Calibri"/>
          <w:bCs/>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4">
        <w:r>
          <w:rPr>
            <w:rStyle w:val="ListLabel3"/>
            <w:rFonts w:eastAsia="Calibri"/>
            <w:bCs/>
          </w:rPr>
          <w:t>пунктом 2 части 1 статьи 93</w:t>
        </w:r>
      </w:hyperlink>
      <w:r>
        <w:rPr>
          <w:rFonts w:eastAsia="Calibri"/>
          <w:bC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Normal"/>
        <w:ind w:firstLine="567"/>
        <w:jc w:val="both"/>
        <w:rPr>
          <w:rFonts w:eastAsia="Calibri"/>
          <w:bCs/>
        </w:rPr>
      </w:pPr>
      <w:r>
        <w:rPr>
          <w:rFonts w:eastAsia="Calibri"/>
        </w:rPr>
        <w:t xml:space="preserve">в) без привлечения средств соответствующих бюджетов бюджетной системы Российской Федерации. </w:t>
      </w:r>
    </w:p>
    <w:p>
      <w:pPr>
        <w:pStyle w:val="Normal"/>
        <w:ind w:firstLine="567"/>
        <w:jc w:val="both"/>
        <w:rPr/>
      </w:pPr>
      <w:r>
        <w:rPr/>
        <w:t>1.3. Положение о закупке разработано в соответствии с Федеральным законом от 18 июля 2011 года N 223-ФЗ "О закупках товаров, работ, услуг отдельными видами юридических лиц".</w:t>
      </w:r>
    </w:p>
    <w:p>
      <w:pPr>
        <w:pStyle w:val="Normal"/>
        <w:ind w:firstLine="567"/>
        <w:jc w:val="both"/>
        <w:rPr/>
      </w:pPr>
      <w:r>
        <w:rPr/>
        <w:t>1.4. Настоящее Положение регулирует отношения по закупкам в целях:</w:t>
      </w:r>
    </w:p>
    <w:p>
      <w:pPr>
        <w:pStyle w:val="Normal"/>
        <w:ind w:firstLine="567"/>
        <w:jc w:val="both"/>
        <w:rPr/>
      </w:pPr>
      <w:r>
        <w:rPr/>
        <w:t>1.4.1.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pPr>
        <w:pStyle w:val="Normal"/>
        <w:ind w:firstLine="567"/>
        <w:jc w:val="both"/>
        <w:rPr/>
      </w:pPr>
      <w:r>
        <w:rPr/>
        <w:t>1.4.2. эффективного использования денежных средств;</w:t>
      </w:r>
    </w:p>
    <w:p>
      <w:pPr>
        <w:pStyle w:val="Normal"/>
        <w:ind w:firstLine="567"/>
        <w:jc w:val="both"/>
        <w:rPr/>
      </w:pPr>
      <w:r>
        <w:rPr/>
        <w:t>1.4.3. расширения возможностей участия юридических и физических лиц в закупке товаров, работ, услуг (далее также - закупка) и стимулирования такого участия;</w:t>
      </w:r>
    </w:p>
    <w:p>
      <w:pPr>
        <w:pStyle w:val="Normal"/>
        <w:ind w:firstLine="567"/>
        <w:jc w:val="both"/>
        <w:rPr/>
      </w:pPr>
      <w:r>
        <w:rPr/>
        <w:t>1.4.4. развития добросовестной конкуренции;</w:t>
      </w:r>
    </w:p>
    <w:p>
      <w:pPr>
        <w:pStyle w:val="Normal"/>
        <w:ind w:firstLine="567"/>
        <w:jc w:val="both"/>
        <w:rPr/>
      </w:pPr>
      <w:r>
        <w:rPr/>
        <w:t>1.4.5. обеспечения гласности и прозрачности закупок;</w:t>
      </w:r>
    </w:p>
    <w:p>
      <w:pPr>
        <w:pStyle w:val="Normal"/>
        <w:ind w:firstLine="567"/>
        <w:jc w:val="both"/>
        <w:rPr/>
      </w:pPr>
      <w:r>
        <w:rPr/>
        <w:t>1.4.6. предотвращения коррупции и других злоупотреблений.</w:t>
      </w:r>
    </w:p>
    <w:p>
      <w:pPr>
        <w:pStyle w:val="Normal"/>
        <w:spacing w:before="0" w:after="0"/>
        <w:ind w:firstLine="567"/>
        <w:contextualSpacing/>
        <w:jc w:val="both"/>
        <w:rPr>
          <w:rFonts w:eastAsia="Calibri"/>
        </w:rPr>
      </w:pPr>
      <w:r>
        <w:rPr/>
        <w:t>1.5. При закупке товаров, работ, услуг Предприятие руководствуется следующими принципами:</w:t>
      </w:r>
      <w:r>
        <w:rPr>
          <w:rFonts w:eastAsia="Calibri"/>
        </w:rPr>
        <w:t xml:space="preserve"> </w:t>
      </w:r>
    </w:p>
    <w:p>
      <w:pPr>
        <w:pStyle w:val="Normal"/>
        <w:spacing w:before="0" w:after="0"/>
        <w:ind w:firstLine="567"/>
        <w:contextualSpacing/>
        <w:jc w:val="both"/>
        <w:rPr>
          <w:rFonts w:eastAsia="Calibri"/>
        </w:rPr>
      </w:pPr>
      <w:r>
        <w:rPr>
          <w:rFonts w:eastAsia="Calibri"/>
        </w:rPr>
        <w:t>- информационная открытость закупки;</w:t>
      </w:r>
    </w:p>
    <w:p>
      <w:pPr>
        <w:pStyle w:val="Normal"/>
        <w:spacing w:before="0" w:after="0"/>
        <w:ind w:firstLine="567"/>
        <w:contextualSpacing/>
        <w:jc w:val="both"/>
        <w:rPr>
          <w:rFonts w:eastAsia="Calibri"/>
        </w:rPr>
      </w:pPr>
      <w:r>
        <w:rPr>
          <w:rFonts w:eastAsia="Calibri"/>
        </w:rPr>
        <w:t>- равноправие, справедливость, отсутствие дискриминации и необоснованных ограничений конкуренции по отношению к участникам закупки;</w:t>
      </w:r>
    </w:p>
    <w:p>
      <w:pPr>
        <w:pStyle w:val="Normal"/>
        <w:spacing w:before="0" w:after="0"/>
        <w:ind w:firstLine="567"/>
        <w:contextualSpacing/>
        <w:jc w:val="both"/>
        <w:rPr>
          <w:rFonts w:eastAsia="Calibri"/>
        </w:rPr>
      </w:pPr>
      <w:r>
        <w:rPr>
          <w:rFonts w:eastAsia="Calibri"/>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pPr>
        <w:pStyle w:val="Normal"/>
        <w:spacing w:before="0" w:after="0"/>
        <w:ind w:firstLine="567"/>
        <w:contextualSpacing/>
        <w:jc w:val="both"/>
        <w:rPr>
          <w:rFonts w:eastAsia="Calibri"/>
        </w:rPr>
      </w:pPr>
      <w:r>
        <w:rPr>
          <w:rFonts w:eastAsia="Calibri"/>
        </w:rPr>
        <w:t>- отсутствие ограничения допуска к участию в закупке путем установления неизмеримых требований к участникам закупки.</w:t>
      </w:r>
    </w:p>
    <w:p>
      <w:pPr>
        <w:pStyle w:val="Normal"/>
        <w:ind w:firstLine="567"/>
        <w:jc w:val="both"/>
        <w:rPr/>
      </w:pPr>
      <w:r>
        <w:rPr/>
        <w:t>1.6. Отношения ОГУП «Липецкфармация», возникшие до утверждения настоящего Положения, действуют до момента окончания исполнения сторонами всех предусмотренных в заключенном договоре обязательств.</w:t>
      </w:r>
    </w:p>
    <w:p>
      <w:pPr>
        <w:pStyle w:val="ConsNormal"/>
        <w:widowControl/>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1.7. ОГУП «Липецкфармация» могут издаваться приказы (распоряжения, регламенты и иные нормативные документы), определяющие полномочия и порядок взаимодействия структурных подразделений и филиалов предприятия при организации и проведении закупочной деятельности, которые должны соответствовать требованиям законодательства Российской Федерации и настоящему Положению. При возникновении противоречий между настоящим Положением и иными нормативными документами Предприятия преимущество имеет настоящее Положение.</w:t>
      </w:r>
    </w:p>
    <w:p>
      <w:pPr>
        <w:pStyle w:val="Normal"/>
        <w:ind w:firstLine="567"/>
        <w:jc w:val="both"/>
        <w:rPr/>
      </w:pPr>
      <w:r>
        <w:rPr/>
        <w:t xml:space="preserve">1.8. Настоящее Положение не распространяется на осуществление закупок в случаях, предусмотренных частью 4 статьи 1 Федерального закона № 223-ФЗ. </w:t>
      </w:r>
    </w:p>
    <w:p>
      <w:pPr>
        <w:pStyle w:val="ConsNormal"/>
        <w:widowControl/>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1.9.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Предприятие руководствуется настоящим Положением.</w:t>
      </w:r>
    </w:p>
    <w:p>
      <w:pPr>
        <w:pStyle w:val="ConsNormal"/>
        <w:widowControl/>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 xml:space="preserve">1.10. Если в документации о закупке не урегулированы отдельные положения, Заказчик, участники закупок руководствуются Положением. </w:t>
      </w:r>
    </w:p>
    <w:p>
      <w:pPr>
        <w:pStyle w:val="Normal"/>
        <w:ind w:firstLine="567"/>
        <w:jc w:val="both"/>
        <w:rPr/>
      </w:pPr>
      <w:r>
        <w:rPr/>
        <w:t>1.11.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pPr>
        <w:pStyle w:val="Normal"/>
        <w:shd w:val="clear" w:color="auto" w:fill="FFFFFF"/>
        <w:tabs>
          <w:tab w:val="left" w:pos="900" w:leader="none"/>
        </w:tabs>
        <w:ind w:firstLine="567"/>
        <w:jc w:val="center"/>
        <w:rPr>
          <w:b/>
          <w:b/>
        </w:rPr>
      </w:pPr>
      <w:r>
        <w:rPr>
          <w:b/>
        </w:rPr>
      </w:r>
    </w:p>
    <w:p>
      <w:pPr>
        <w:pStyle w:val="Normal"/>
        <w:shd w:val="clear" w:color="auto" w:fill="FFFFFF"/>
        <w:tabs>
          <w:tab w:val="left" w:pos="900" w:leader="none"/>
        </w:tabs>
        <w:ind w:firstLine="567"/>
        <w:jc w:val="center"/>
        <w:rPr>
          <w:b/>
          <w:b/>
        </w:rPr>
      </w:pPr>
      <w:r>
        <w:rPr>
          <w:b/>
        </w:rPr>
      </w:r>
    </w:p>
    <w:p>
      <w:pPr>
        <w:pStyle w:val="Normal"/>
        <w:shd w:val="clear" w:color="auto" w:fill="FFFFFF"/>
        <w:tabs>
          <w:tab w:val="left" w:pos="900" w:leader="none"/>
        </w:tabs>
        <w:ind w:firstLine="567"/>
        <w:jc w:val="center"/>
        <w:rPr>
          <w:b/>
          <w:b/>
        </w:rPr>
      </w:pPr>
      <w:r>
        <w:rPr>
          <w:b/>
        </w:rPr>
        <w:t>2. ОПРЕДЕЛЕНИЯ, СОКРАЩЕНИЯ И ТЕРМИНЫ, ИСПОЛЬЗУЕМЫЕ В ПОЛОЖЕНИИ</w:t>
      </w:r>
      <w:bookmarkStart w:id="4" w:name="_Hlk533590154"/>
      <w:bookmarkEnd w:id="4"/>
    </w:p>
    <w:p>
      <w:pPr>
        <w:pStyle w:val="Normal"/>
        <w:shd w:val="clear" w:color="auto" w:fill="FFFFFF"/>
        <w:tabs>
          <w:tab w:val="left" w:pos="4275" w:leader="none"/>
        </w:tabs>
        <w:ind w:firstLine="567"/>
        <w:jc w:val="both"/>
        <w:rPr/>
      </w:pPr>
      <w:r>
        <w:rPr/>
        <w:tab/>
      </w:r>
    </w:p>
    <w:p>
      <w:pPr>
        <w:pStyle w:val="Normal"/>
        <w:ind w:firstLine="567"/>
        <w:jc w:val="both"/>
        <w:rPr/>
      </w:pPr>
      <w:r>
        <w:rPr>
          <w:b/>
          <w:bCs/>
        </w:rPr>
        <w:t>Аукцион</w:t>
      </w:r>
      <w:r>
        <w:rPr/>
        <w:t xml:space="preserve"> - </w:t>
      </w:r>
      <w:r>
        <w:rPr>
          <w:rFonts w:eastAsia="Calibri"/>
          <w:bCs/>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или, 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Pr/>
        <w:t>;</w:t>
      </w:r>
    </w:p>
    <w:p>
      <w:pPr>
        <w:pStyle w:val="Normal"/>
        <w:ind w:firstLine="567"/>
        <w:jc w:val="both"/>
        <w:rPr/>
      </w:pPr>
      <w:r>
        <w:rPr>
          <w:b/>
          <w:bCs/>
        </w:rPr>
        <w:t>документация о закупке</w:t>
      </w:r>
      <w:r>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pPr>
        <w:pStyle w:val="Default"/>
        <w:ind w:firstLine="567"/>
        <w:jc w:val="both"/>
        <w:rPr/>
      </w:pPr>
      <w:r>
        <w:rPr>
          <w:b/>
          <w:color w:val="auto"/>
        </w:rPr>
        <w:t>единая информационная система (ЕИС)</w:t>
      </w:r>
      <w:r>
        <w:rPr>
          <w:color w:val="auto"/>
          <w:sz w:val="28"/>
          <w:szCs w:val="28"/>
        </w:rPr>
        <w:t xml:space="preserve"> - </w:t>
      </w:r>
      <w:r>
        <w:rPr>
          <w:color w:val="auto"/>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5">
        <w:r>
          <w:rPr>
            <w:rStyle w:val="ListLabel4"/>
            <w:color w:val="auto"/>
          </w:rPr>
          <w:t>официального сайта</w:t>
        </w:r>
      </w:hyperlink>
      <w:r>
        <w:rPr>
          <w:color w:val="auto"/>
        </w:rPr>
        <w:t xml:space="preserve"> единой информационной системы в информационно-телекоммуникационной сети «Интернет»;</w:t>
      </w:r>
    </w:p>
    <w:p>
      <w:pPr>
        <w:pStyle w:val="Normal"/>
        <w:ind w:firstLine="567"/>
        <w:jc w:val="both"/>
        <w:rPr/>
      </w:pPr>
      <w:r>
        <w:rPr>
          <w:b/>
          <w:bCs/>
        </w:rPr>
        <w:t>закупка</w:t>
      </w:r>
      <w:r>
        <w:rPr/>
        <w:t xml:space="preserve"> - совокупность действий, осуществляемых заказчиком в установленном настоящим Положением порядке и направленных на обеспечение нужд ОГУП «Липецкфармация»;</w:t>
      </w:r>
    </w:p>
    <w:p>
      <w:pPr>
        <w:pStyle w:val="14"/>
        <w:spacing w:lineRule="auto" w:line="240" w:before="0" w:after="0"/>
        <w:ind w:left="0" w:firstLine="567"/>
        <w:jc w:val="both"/>
        <w:rPr>
          <w:rFonts w:ascii="Times New Roman" w:hAnsi="Times New Roman" w:cs="Times New Roman"/>
          <w:sz w:val="24"/>
          <w:szCs w:val="24"/>
        </w:rPr>
      </w:pPr>
      <w:r>
        <w:rPr>
          <w:rFonts w:cs="Times New Roman" w:ascii="Times New Roman" w:hAnsi="Times New Roman"/>
          <w:b/>
          <w:bCs/>
          <w:sz w:val="24"/>
          <w:szCs w:val="24"/>
        </w:rPr>
        <w:t xml:space="preserve">закупка у </w:t>
      </w:r>
      <w:r>
        <w:rPr>
          <w:rFonts w:cs="Times New Roman" w:ascii="Times New Roman" w:hAnsi="Times New Roman"/>
          <w:b/>
          <w:sz w:val="24"/>
          <w:szCs w:val="24"/>
        </w:rPr>
        <w:t>единственного</w:t>
      </w:r>
      <w:r>
        <w:rPr>
          <w:rFonts w:cs="Times New Roman" w:ascii="Times New Roman" w:hAnsi="Times New Roman"/>
          <w:sz w:val="24"/>
          <w:szCs w:val="24"/>
        </w:rPr>
        <w:t xml:space="preserve"> </w:t>
      </w:r>
      <w:r>
        <w:rPr>
          <w:rFonts w:cs="Times New Roman" w:ascii="Times New Roman" w:hAnsi="Times New Roman"/>
          <w:b/>
          <w:sz w:val="24"/>
          <w:szCs w:val="24"/>
        </w:rPr>
        <w:t>поставщика (исполнителя, подрядчика)</w:t>
      </w:r>
      <w:r>
        <w:rPr>
          <w:rFonts w:cs="Times New Roman" w:ascii="Times New Roman" w:hAnsi="Times New Roman"/>
          <w:sz w:val="24"/>
          <w:szCs w:val="24"/>
        </w:rPr>
        <w:t xml:space="preserve"> – неконкурентный способ закупки, в результате которого заказчиком заключается договор с определенным им поставщиком (исполнителем, подрядчиком) без проведения конкурентных процедур выбора;</w:t>
      </w:r>
    </w:p>
    <w:p>
      <w:pPr>
        <w:pStyle w:val="Normal"/>
        <w:ind w:firstLine="567"/>
        <w:jc w:val="both"/>
        <w:rPr>
          <w:rFonts w:eastAsia="Calibri"/>
        </w:rPr>
      </w:pPr>
      <w:r>
        <w:rPr>
          <w:b/>
          <w:bCs/>
        </w:rPr>
        <w:t>запрос котировок</w:t>
      </w:r>
      <w:r>
        <w:rPr/>
        <w:t xml:space="preserve"> - </w:t>
      </w:r>
      <w:r>
        <w:rPr>
          <w:rFonts w:eastAsia="Calibri"/>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Normal"/>
        <w:ind w:firstLine="567"/>
        <w:jc w:val="both"/>
        <w:rPr/>
      </w:pPr>
      <w:r>
        <w:rPr>
          <w:b/>
          <w:bCs/>
        </w:rPr>
        <w:t>запрос предложений</w:t>
      </w:r>
      <w:r>
        <w:rPr/>
        <w:t xml:space="preserve"> - </w:t>
      </w:r>
      <w:r>
        <w:rPr>
          <w:rFonts w:eastAsia="Calibri"/>
          <w:bCs/>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t>;</w:t>
      </w:r>
    </w:p>
    <w:p>
      <w:pPr>
        <w:pStyle w:val="Normal"/>
        <w:ind w:firstLine="567"/>
        <w:jc w:val="both"/>
        <w:rPr/>
      </w:pPr>
      <w:r>
        <w:rPr>
          <w:b/>
          <w:bCs/>
        </w:rPr>
        <w:t>комиссия по закупкам</w:t>
      </w:r>
      <w:r>
        <w:rPr/>
        <w:t xml:space="preserve"> - коллегиальный орган, создающийся решением заказчика для проведения процедур закупок, в том числе для определения победителя закупки;</w:t>
      </w:r>
    </w:p>
    <w:p>
      <w:pPr>
        <w:pStyle w:val="Normal"/>
        <w:ind w:firstLine="567"/>
        <w:jc w:val="both"/>
        <w:rPr/>
      </w:pPr>
      <w:r>
        <w:rPr>
          <w:b/>
          <w:bCs/>
        </w:rPr>
        <w:t>конкурентная закупка</w:t>
      </w:r>
      <w:r>
        <w:rPr/>
        <w:t xml:space="preserve"> - закупка,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pPr>
        <w:pStyle w:val="Normal"/>
        <w:ind w:firstLine="567"/>
        <w:jc w:val="both"/>
        <w:rPr/>
      </w:pPr>
      <w:r>
        <w:rPr>
          <w:b/>
          <w:bCs/>
        </w:rPr>
        <w:t>конкурс</w:t>
      </w:r>
      <w:r>
        <w:rPr/>
        <w:t xml:space="preserve"> - </w:t>
      </w:r>
      <w:r>
        <w:rPr>
          <w:rFonts w:eastAsia="Calibri"/>
        </w:rPr>
        <w:t xml:space="preserve">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t>;</w:t>
      </w:r>
    </w:p>
    <w:p>
      <w:pPr>
        <w:pStyle w:val="Default"/>
        <w:ind w:firstLine="567"/>
        <w:jc w:val="both"/>
        <w:rPr>
          <w:color w:val="auto"/>
        </w:rPr>
      </w:pPr>
      <w:r>
        <w:rPr>
          <w:b/>
          <w:color w:val="auto"/>
        </w:rPr>
        <w:t>конкурс с ограниченным участием -</w:t>
      </w:r>
      <w:r>
        <w:rPr>
          <w:color w:val="auto"/>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 </w:t>
      </w:r>
    </w:p>
    <w:p>
      <w:pPr>
        <w:pStyle w:val="Normal"/>
        <w:ind w:firstLine="567"/>
        <w:jc w:val="both"/>
        <w:rPr/>
      </w:pPr>
      <w:r>
        <w:rPr>
          <w:b/>
          <w:bCs/>
        </w:rPr>
        <w:t>котировочная заявка</w:t>
      </w:r>
      <w:r>
        <w:rPr/>
        <w:t xml:space="preserve"> - документальное подтверждение согласия участника участвовать в запросе котировок на объявленных заказчиком условиях;</w:t>
      </w:r>
    </w:p>
    <w:p>
      <w:pPr>
        <w:pStyle w:val="Default"/>
        <w:ind w:firstLine="567"/>
        <w:jc w:val="both"/>
        <w:rPr>
          <w:color w:val="auto"/>
        </w:rPr>
      </w:pPr>
      <w:r>
        <w:rPr>
          <w:b/>
          <w:bCs/>
          <w:color w:val="auto"/>
        </w:rPr>
        <w:t>лот</w:t>
      </w:r>
      <w:r>
        <w:rPr>
          <w:color w:val="auto"/>
        </w:rPr>
        <w:t xml:space="preserve"> – обособленная часть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pPr>
        <w:pStyle w:val="22"/>
        <w:spacing w:lineRule="auto" w:line="240"/>
        <w:ind w:left="0" w:firstLine="567"/>
        <w:rPr>
          <w:sz w:val="24"/>
          <w:szCs w:val="24"/>
        </w:rPr>
      </w:pPr>
      <w:r>
        <w:rPr>
          <w:b/>
          <w:bCs/>
          <w:sz w:val="24"/>
          <w:szCs w:val="24"/>
        </w:rPr>
        <w:t>начальная (максимальная) цена договора</w:t>
      </w:r>
      <w:r>
        <w:rPr>
          <w:sz w:val="24"/>
          <w:szCs w:val="24"/>
        </w:rPr>
        <w:t xml:space="preserve"> - предельно допустимая цена договора, определяемая заказчиком при проведении конкурентной закупки;</w:t>
      </w:r>
    </w:p>
    <w:p>
      <w:pPr>
        <w:pStyle w:val="Normal"/>
        <w:ind w:firstLine="567"/>
        <w:jc w:val="both"/>
        <w:rPr/>
      </w:pPr>
      <w:r>
        <w:rPr>
          <w:b/>
          <w:bCs/>
        </w:rPr>
        <w:t>неконкурентный способ закупки</w:t>
      </w:r>
      <w:r>
        <w:rPr/>
        <w:t xml:space="preserve"> - процедура закупки, не предусматривающая состязательности предложений независимых участников;</w:t>
      </w:r>
    </w:p>
    <w:p>
      <w:pPr>
        <w:pStyle w:val="Normal"/>
        <w:ind w:firstLine="567"/>
        <w:jc w:val="both"/>
        <w:rPr>
          <w:rFonts w:eastAsia="Calibri"/>
          <w:bCs/>
        </w:rPr>
      </w:pPr>
      <w:r>
        <w:rPr>
          <w:b/>
          <w:bCs/>
        </w:rPr>
        <w:t>оператор электронной площадки</w:t>
      </w:r>
      <w:r>
        <w:rPr/>
        <w:t xml:space="preserve"> - </w:t>
      </w:r>
      <w:r>
        <w:rPr>
          <w:rFonts w:eastAsia="Calibri"/>
          <w:bC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pPr>
        <w:pStyle w:val="Normal"/>
        <w:ind w:firstLine="567"/>
        <w:jc w:val="both"/>
        <w:rPr/>
      </w:pPr>
      <w:r>
        <w:rPr>
          <w:b/>
          <w:bCs/>
        </w:rPr>
        <w:t>открытые процедуры закупки</w:t>
      </w:r>
      <w:r>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pPr>
        <w:pStyle w:val="Normal"/>
        <w:ind w:firstLine="567"/>
        <w:jc w:val="both"/>
        <w:rPr/>
      </w:pPr>
      <w:r>
        <w:rPr>
          <w:b/>
          <w:bCs/>
        </w:rPr>
        <w:t>переторжка</w:t>
      </w:r>
      <w:r>
        <w:rPr/>
        <w:t xml:space="preserve"> - процедура, направленная на добровольное снижение цен предложений участников с целью повысить их предпочтительность для заказчика;</w:t>
      </w:r>
    </w:p>
    <w:p>
      <w:pPr>
        <w:pStyle w:val="Normal"/>
        <w:ind w:firstLine="567"/>
        <w:jc w:val="both"/>
        <w:rPr/>
      </w:pPr>
      <w:r>
        <w:rPr>
          <w:b/>
          <w:bCs/>
        </w:rPr>
        <w:t>победитель</w:t>
      </w:r>
      <w:r>
        <w:rPr/>
        <w:t xml:space="preserve"> - участник закупки, который сделал лучшее предложение в соответствии с условиями документации процедуры закупки;</w:t>
      </w:r>
    </w:p>
    <w:p>
      <w:pPr>
        <w:pStyle w:val="Default"/>
        <w:ind w:firstLine="567"/>
        <w:jc w:val="both"/>
        <w:rPr>
          <w:color w:val="auto"/>
        </w:rPr>
      </w:pPr>
      <w:r>
        <w:rPr>
          <w:b/>
          <w:bCs/>
          <w:color w:val="auto"/>
        </w:rPr>
        <w:t>поставщик, исполнитель, подрядчик</w:t>
      </w:r>
      <w:r>
        <w:rPr>
          <w:color w:val="auto"/>
        </w:rPr>
        <w:t xml:space="preserve"> -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w:t>
      </w:r>
      <w:r>
        <w:rPr>
          <w:bCs/>
          <w:color w:val="auto"/>
        </w:rPr>
        <w:t>товары, выполнить требуемые работы, оказать требуемые услуги;</w:t>
      </w:r>
    </w:p>
    <w:p>
      <w:pPr>
        <w:pStyle w:val="Normal"/>
        <w:ind w:firstLine="567"/>
        <w:jc w:val="both"/>
        <w:rPr/>
      </w:pPr>
      <w:r>
        <w:rPr>
          <w:b/>
          <w:bCs/>
        </w:rPr>
        <w:t>предварительный квалификационный отбор</w:t>
      </w:r>
      <w:r>
        <w:rPr/>
        <w:t xml:space="preserve"> - оценка соответствия участников предъявляемым требованиям, приводящаяся в виде отдельной процедуры до подачи заявок с технико-коммерческими предложениями и не являющаяся отдельным способом закупки;</w:t>
      </w:r>
    </w:p>
    <w:p>
      <w:pPr>
        <w:pStyle w:val="Normal"/>
        <w:ind w:firstLine="567"/>
        <w:jc w:val="both"/>
        <w:rPr/>
      </w:pPr>
      <w:r>
        <w:rPr>
          <w:b/>
        </w:rPr>
        <w:t xml:space="preserve">пролонгация действующих договоров </w:t>
      </w:r>
      <w:r>
        <w:rPr/>
        <w:t>- под закупкой товаров (работ и услуг) путём пролонгации действующих договоров (контрактов) для целей настоящего Положения понимается исполнение условий договора (контракта), которыми предусмотрено требование о продлении срока действия данного договора (контракта) на следующий календарный год с учётом случаев, оговорённых конкретным договором (контрактом). Пролонгация договорных отношений может быть использована с вызывающими доверие поставщиками (подрядчиками, исполнителями), с которыми у Предприятия установлены длительные коммерческие взаимоотношения, либо краткосрочные, но зарекомендовавшие себя с положительной, выгодной Предприятию стороны;</w:t>
      </w:r>
    </w:p>
    <w:p>
      <w:pPr>
        <w:pStyle w:val="Normal"/>
        <w:ind w:firstLine="567"/>
        <w:jc w:val="both"/>
        <w:rPr/>
      </w:pPr>
      <w:r>
        <w:rPr>
          <w:b/>
          <w:bCs/>
        </w:rPr>
        <w:t>процедура</w:t>
      </w:r>
      <w:r>
        <w:rPr/>
        <w:t xml:space="preserve"> - установленный способ осуществления деятельности или процесса; последовательность действий;</w:t>
      </w:r>
    </w:p>
    <w:p>
      <w:pPr>
        <w:pStyle w:val="Normal"/>
        <w:ind w:firstLine="567"/>
        <w:jc w:val="both"/>
        <w:rPr/>
      </w:pPr>
      <w:r>
        <w:rPr>
          <w:b/>
          <w:bCs/>
        </w:rPr>
        <w:t>процедуры с ограниченным участием</w:t>
      </w:r>
      <w:r>
        <w:rPr/>
        <w:t xml:space="preserve"> - процедуры закупки, в которых может принять участие ограниченный круг лиц, определенный в порядке, установленном настоящим Положением; </w:t>
      </w:r>
    </w:p>
    <w:p>
      <w:pPr>
        <w:pStyle w:val="Normal"/>
        <w:ind w:firstLine="567"/>
        <w:jc w:val="both"/>
        <w:rPr/>
      </w:pPr>
      <w:r>
        <w:rPr>
          <w:b/>
          <w:bCs/>
        </w:rPr>
        <w:t>способ осуществления закупки</w:t>
      </w:r>
      <w:r>
        <w:rPr/>
        <w:t xml:space="preserve"> - 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pPr>
        <w:pStyle w:val="22"/>
        <w:spacing w:lineRule="auto" w:line="240"/>
        <w:ind w:left="0" w:firstLine="567"/>
        <w:rPr>
          <w:sz w:val="24"/>
          <w:szCs w:val="24"/>
        </w:rPr>
      </w:pPr>
      <w:r>
        <w:rPr>
          <w:b/>
          <w:bCs/>
          <w:sz w:val="24"/>
          <w:szCs w:val="24"/>
        </w:rPr>
        <w:t>участник</w:t>
      </w:r>
      <w:r>
        <w:rPr>
          <w:sz w:val="24"/>
          <w:szCs w:val="24"/>
        </w:rPr>
        <w:t xml:space="preserve">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Normal"/>
        <w:ind w:firstLine="567"/>
        <w:jc w:val="both"/>
        <w:rPr/>
      </w:pPr>
      <w:r>
        <w:rPr>
          <w:b/>
          <w:bCs/>
        </w:rPr>
        <w:t>чрезвычайное событие</w:t>
      </w:r>
      <w:r>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могут привести к нарушению имущественных интересов Предприятия;</w:t>
      </w:r>
    </w:p>
    <w:p>
      <w:pPr>
        <w:pStyle w:val="Default"/>
        <w:ind w:firstLine="567"/>
        <w:jc w:val="both"/>
        <w:rPr>
          <w:color w:val="auto"/>
        </w:rPr>
      </w:pPr>
      <w:r>
        <w:rPr>
          <w:b/>
          <w:bCs/>
          <w:color w:val="auto"/>
        </w:rPr>
        <w:t>эксперт,</w:t>
      </w:r>
      <w:r>
        <w:rPr>
          <w:color w:val="auto"/>
        </w:rPr>
        <w:t xml:space="preserve"> </w:t>
      </w:r>
      <w:r>
        <w:rPr>
          <w:bCs/>
          <w:color w:val="auto"/>
        </w:rPr>
        <w:t>экспертная организация</w:t>
      </w:r>
      <w:r>
        <w:rPr>
          <w:color w:val="auto"/>
        </w:rPr>
        <w:t xml:space="preserve">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комиссией вопросам в случаях, предусмотренных настоящим Положением;</w:t>
      </w:r>
    </w:p>
    <w:p>
      <w:pPr>
        <w:pStyle w:val="Normal"/>
        <w:ind w:firstLine="567"/>
        <w:jc w:val="both"/>
        <w:rPr/>
      </w:pPr>
      <w:r>
        <w:rPr>
          <w:b/>
          <w:bCs/>
        </w:rPr>
        <w:t>электронная площадка</w:t>
      </w:r>
      <w:r>
        <w:rPr/>
        <w:t xml:space="preserve"> - сайт </w:t>
      </w:r>
      <w:r>
        <w:rPr>
          <w:rFonts w:eastAsia="Calibri"/>
          <w:b/>
          <w:bCs/>
        </w:rPr>
        <w:t>в информационно-телекоммуникационной сети "Интернет"</w:t>
      </w:r>
      <w:r>
        <w:rPr/>
        <w:t>, на котором проводятся открытые процедуры конкурентной закупки в электронной форме;</w:t>
      </w:r>
    </w:p>
    <w:p>
      <w:pPr>
        <w:pStyle w:val="Normal"/>
        <w:ind w:firstLine="567"/>
        <w:jc w:val="both"/>
        <w:rPr/>
      </w:pPr>
      <w:r>
        <w:rPr>
          <w:b/>
          <w:bCs/>
        </w:rPr>
        <w:t>электронная подпись</w:t>
      </w:r>
      <w:r>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w:t>
      </w:r>
      <w:r>
        <w:rPr>
          <w:rFonts w:eastAsia="Calibri"/>
          <w:b/>
          <w:bCs/>
        </w:rPr>
        <w:t>усиленной</w:t>
      </w:r>
      <w:r>
        <w:rPr>
          <w:rFonts w:eastAsia="Calibri"/>
          <w:bCs/>
        </w:rPr>
        <w:t xml:space="preserve"> квалифицированной электронной подписи</w:t>
      </w:r>
      <w:r>
        <w:rPr>
          <w:rFonts w:eastAsia="Calibri"/>
          <w:b/>
          <w:bCs/>
        </w:rPr>
        <w:t xml:space="preserve"> </w:t>
      </w:r>
      <w:r>
        <w:rPr/>
        <w:t>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pStyle w:val="Normal"/>
        <w:ind w:firstLine="567"/>
        <w:jc w:val="both"/>
        <w:rPr/>
      </w:pPr>
      <w:r>
        <w:rPr>
          <w:b/>
          <w:bCs/>
        </w:rPr>
        <w:t>электронный документ</w:t>
      </w:r>
      <w:r>
        <w:rPr/>
        <w:t xml:space="preserve"> - документ, в котором информация представлена в электронно-цифровой форме;</w:t>
      </w:r>
    </w:p>
    <w:p>
      <w:pPr>
        <w:pStyle w:val="Normal"/>
        <w:ind w:firstLine="567"/>
        <w:jc w:val="both"/>
        <w:rPr/>
      </w:pPr>
      <w:r>
        <w:rPr>
          <w:b/>
          <w:bCs/>
        </w:rPr>
        <w:t>этап</w:t>
      </w:r>
      <w:r>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ее участников (допустить на следующий этап, выбрать наилучшего и т.п.).</w:t>
      </w:r>
    </w:p>
    <w:p>
      <w:pPr>
        <w:pStyle w:val="Normal"/>
        <w:ind w:firstLine="567"/>
        <w:jc w:val="both"/>
        <w:rPr/>
      </w:pPr>
      <w:r>
        <w:rPr/>
      </w:r>
    </w:p>
    <w:p>
      <w:pPr>
        <w:pStyle w:val="Normal"/>
        <w:ind w:firstLine="567"/>
        <w:jc w:val="both"/>
        <w:rPr/>
      </w:pPr>
      <w:r>
        <w:rPr/>
      </w:r>
    </w:p>
    <w:p>
      <w:pPr>
        <w:pStyle w:val="Normal"/>
        <w:ind w:firstLine="567"/>
        <w:jc w:val="center"/>
        <w:rPr>
          <w:b/>
          <w:b/>
          <w:bCs/>
          <w:sz w:val="22"/>
          <w:szCs w:val="22"/>
        </w:rPr>
      </w:pPr>
      <w:r>
        <w:rPr>
          <w:b/>
          <w:bCs/>
          <w:sz w:val="22"/>
          <w:szCs w:val="22"/>
        </w:rPr>
      </w:r>
    </w:p>
    <w:p>
      <w:pPr>
        <w:pStyle w:val="Normal"/>
        <w:ind w:firstLine="567"/>
        <w:jc w:val="center"/>
        <w:rPr>
          <w:b/>
          <w:b/>
          <w:bCs/>
          <w:sz w:val="22"/>
          <w:szCs w:val="22"/>
        </w:rPr>
      </w:pPr>
      <w:r>
        <w:rPr>
          <w:b/>
          <w:bCs/>
          <w:sz w:val="22"/>
          <w:szCs w:val="22"/>
        </w:rPr>
        <w:t>3. ИНФОРМАЦИОННОЕ ОБЕСПЕЧЕНИЕ ЗАКУПКИ</w:t>
      </w:r>
    </w:p>
    <w:p>
      <w:pPr>
        <w:pStyle w:val="Normal"/>
        <w:ind w:firstLine="567"/>
        <w:jc w:val="center"/>
        <w:rPr>
          <w:b/>
          <w:b/>
          <w:bCs/>
          <w:sz w:val="22"/>
          <w:szCs w:val="22"/>
        </w:rPr>
      </w:pPr>
      <w:r>
        <w:rPr>
          <w:b/>
          <w:bCs/>
          <w:sz w:val="22"/>
          <w:szCs w:val="22"/>
        </w:rPr>
      </w:r>
      <w:bookmarkStart w:id="5" w:name="_Hlk533590187"/>
      <w:bookmarkStart w:id="6" w:name="_Hlk533590187"/>
      <w:bookmarkEnd w:id="6"/>
    </w:p>
    <w:p>
      <w:pPr>
        <w:pStyle w:val="Normal"/>
        <w:ind w:firstLine="567"/>
        <w:jc w:val="both"/>
        <w:rPr/>
      </w:pPr>
      <w:r>
        <w:rPr/>
        <w:t xml:space="preserve">3.1. 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N 223-ФЗ не позднее чем в течение 15 дней со дня утверждения и на сайте заказчика </w:t>
      </w:r>
      <w:r>
        <w:rPr>
          <w:lang w:val="en-US"/>
        </w:rPr>
        <w:t>lipfarm</w:t>
      </w:r>
      <w:r>
        <w:rPr/>
        <w:t>.</w:t>
      </w:r>
      <w:r>
        <w:rPr>
          <w:lang w:val="en-US"/>
        </w:rPr>
        <w:t>ru</w:t>
      </w:r>
      <w:r>
        <w:rPr/>
        <w:t>.</w:t>
      </w:r>
      <w:bookmarkStart w:id="7" w:name="_Hlk113453790"/>
      <w:bookmarkEnd w:id="7"/>
    </w:p>
    <w:p>
      <w:pPr>
        <w:pStyle w:val="Normal"/>
        <w:ind w:firstLine="567"/>
        <w:jc w:val="both"/>
        <w:rPr/>
      </w:pPr>
      <w:r>
        <w:rPr/>
        <w:t>3.1.1.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pPr>
        <w:pStyle w:val="Normal"/>
        <w:ind w:firstLine="567"/>
        <w:jc w:val="both"/>
        <w:rPr/>
      </w:pPr>
      <w:r>
        <w:rPr/>
        <w:t>3.2. В единой информационной системе размещается план закупки товаров, работ, услуг (далее – план закупки), информация о внесении в него изменений в течение 10 календарных дней с даты утверждения плана или внесения в него изменений.</w:t>
      </w:r>
    </w:p>
    <w:p>
      <w:pPr>
        <w:pStyle w:val="Normal"/>
        <w:ind w:firstLine="567"/>
        <w:jc w:val="both"/>
        <w:rPr/>
      </w:pPr>
      <w:r>
        <w:rPr/>
        <w:t xml:space="preserve"> </w:t>
      </w:r>
      <w:r>
        <w:rPr/>
        <w:t>3.2.1. Размещение плана закупки в единой информационной системе осуществляется не позднее 31 декабря текущего календарного года на срок не менее чем один год.</w:t>
      </w:r>
    </w:p>
    <w:p>
      <w:pPr>
        <w:pStyle w:val="ConsNormal"/>
        <w:widowControl/>
        <w:tabs>
          <w:tab w:val="left" w:pos="900" w:leader="none"/>
          <w:tab w:val="left" w:pos="1080" w:leader="none"/>
        </w:tabs>
        <w:ind w:firstLine="567"/>
        <w:jc w:val="both"/>
        <w:rPr>
          <w:rFonts w:ascii="Times New Roman" w:hAnsi="Times New Roman" w:cs="Times New Roman"/>
          <w:sz w:val="24"/>
          <w:szCs w:val="24"/>
        </w:rPr>
      </w:pPr>
      <w:r>
        <w:rPr>
          <w:rFonts w:cs="Times New Roman" w:ascii="Times New Roman" w:hAnsi="Times New Roman"/>
          <w:sz w:val="24"/>
          <w:szCs w:val="24"/>
        </w:rPr>
        <w:t>3.2.2. План закупки инновационной и высокотехнологичной продукции и лекарственных средств размещается в единой информационной системе на период от 5 до 7 лет.</w:t>
      </w:r>
    </w:p>
    <w:p>
      <w:pPr>
        <w:pStyle w:val="ConsNormal"/>
        <w:widowControl/>
        <w:tabs>
          <w:tab w:val="left" w:pos="540" w:leader="none"/>
          <w:tab w:val="left" w:pos="900" w:leader="none"/>
          <w:tab w:val="left" w:pos="1080" w:leader="none"/>
        </w:tabs>
        <w:ind w:firstLine="567"/>
        <w:jc w:val="both"/>
        <w:rPr>
          <w:rFonts w:ascii="Times New Roman" w:hAnsi="Times New Roman" w:cs="Times New Roman"/>
          <w:sz w:val="24"/>
          <w:szCs w:val="24"/>
        </w:rPr>
      </w:pPr>
      <w:r>
        <w:rPr>
          <w:rFonts w:cs="Times New Roman" w:ascii="Times New Roman" w:hAnsi="Times New Roman"/>
          <w:sz w:val="24"/>
          <w:szCs w:val="24"/>
        </w:rPr>
        <w:tab/>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pPr>
        <w:pStyle w:val="Normal"/>
        <w:ind w:firstLine="567"/>
        <w:jc w:val="both"/>
        <w:rPr/>
      </w:pPr>
      <w:r>
        <w:rPr/>
        <w:t xml:space="preserve">3.2.3. Размещенные в единой информационной системе и на сайте заказчика </w:t>
      </w:r>
      <w:r>
        <w:rPr>
          <w:lang w:val="en-US"/>
        </w:rPr>
        <w:t>lipfarm</w:t>
      </w:r>
      <w:r>
        <w:rPr/>
        <w:t>.</w:t>
      </w:r>
      <w:r>
        <w:rPr>
          <w:lang w:val="en-US"/>
        </w:rPr>
        <w:t>ru</w:t>
      </w:r>
      <w:r>
        <w:rPr/>
        <w:t xml:space="preserve"> в соответствии с Федеральным законом № 223-ФЗ и настоящим Положением информация о закупке, положения о закупке, планы закупки должны быть доступны для ознакомления без взимания платы.</w:t>
      </w:r>
    </w:p>
    <w:p>
      <w:pPr>
        <w:pStyle w:val="Normal"/>
        <w:ind w:firstLine="567"/>
        <w:jc w:val="both"/>
        <w:rPr/>
      </w:pPr>
      <w:r>
        <w:rPr/>
        <w:t xml:space="preserve">3.3. </w:t>
      </w:r>
      <w:r>
        <w:rPr>
          <w:rFonts w:eastAsia="Calibri"/>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Pr/>
        <w:t xml:space="preserve"> единой информационной системе также подлежит размещению следующая информация о закупке:</w:t>
      </w:r>
    </w:p>
    <w:p>
      <w:pPr>
        <w:pStyle w:val="Normal"/>
        <w:ind w:firstLine="567"/>
        <w:jc w:val="both"/>
        <w:rPr>
          <w:rFonts w:eastAsia="Calibri"/>
        </w:rPr>
      </w:pPr>
      <w:r>
        <w:rPr>
          <w:rFonts w:eastAsia="Calibri"/>
        </w:rPr>
        <w:t xml:space="preserve">3.3.1. извещение об осуществлении конкурентной закупки, </w:t>
      </w:r>
    </w:p>
    <w:p>
      <w:pPr>
        <w:pStyle w:val="Normal"/>
        <w:ind w:firstLine="567"/>
        <w:jc w:val="both"/>
        <w:rPr>
          <w:rFonts w:eastAsia="Calibri"/>
        </w:rPr>
      </w:pPr>
      <w:r>
        <w:rPr>
          <w:rFonts w:eastAsia="Calibri"/>
        </w:rPr>
        <w:t>3.3.2. документация о конкурентной закупке, за исключением запроса котировок,</w:t>
      </w:r>
    </w:p>
    <w:p>
      <w:pPr>
        <w:pStyle w:val="Normal"/>
        <w:ind w:left="567" w:hanging="0"/>
        <w:jc w:val="both"/>
        <w:rPr>
          <w:rFonts w:eastAsia="Calibri"/>
        </w:rPr>
      </w:pPr>
      <w:r>
        <w:rPr>
          <w:rFonts w:eastAsia="Calibri"/>
        </w:rPr>
        <w:t xml:space="preserve">3.3.3. проект договора, являющийся неотъемлемой частью извещения об осуществлении конкурентной закупки и документации о конкурентной закупке, 3.3.4. изменения, внесенные в эти извещение и документацию, </w:t>
      </w:r>
    </w:p>
    <w:p>
      <w:pPr>
        <w:pStyle w:val="Normal"/>
        <w:jc w:val="both"/>
        <w:rPr>
          <w:rFonts w:eastAsia="Calibri"/>
        </w:rPr>
      </w:pPr>
      <w:r>
        <w:rPr>
          <w:rFonts w:eastAsia="Calibri"/>
        </w:rPr>
        <w:t xml:space="preserve">          </w:t>
      </w:r>
      <w:r>
        <w:rPr>
          <w:rFonts w:eastAsia="Calibri"/>
        </w:rPr>
        <w:t xml:space="preserve">3.3.4. разъяснения этой документации, </w:t>
      </w:r>
    </w:p>
    <w:p>
      <w:pPr>
        <w:pStyle w:val="Normal"/>
        <w:jc w:val="both"/>
        <w:rPr>
          <w:rFonts w:eastAsia="Calibri"/>
        </w:rPr>
      </w:pPr>
      <w:r>
        <w:rPr>
          <w:rFonts w:eastAsia="Calibri"/>
        </w:rPr>
        <w:t xml:space="preserve">          </w:t>
      </w:r>
      <w:r>
        <w:rPr>
          <w:rFonts w:eastAsia="Calibri"/>
        </w:rPr>
        <w:t xml:space="preserve">3.3.5. протоколы, составляемые в ходе осуществления закупки, итоговый протокол. </w:t>
      </w:r>
    </w:p>
    <w:p>
      <w:pPr>
        <w:pStyle w:val="Normal"/>
        <w:ind w:firstLine="567"/>
        <w:jc w:val="both"/>
        <w:rPr/>
      </w:pPr>
      <w:r>
        <w:rPr>
          <w:rFonts w:eastAsia="Calibri"/>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r>
        <w:rPr/>
        <w:t>;</w:t>
      </w:r>
    </w:p>
    <w:p>
      <w:pPr>
        <w:pStyle w:val="Normal"/>
        <w:ind w:firstLine="567"/>
        <w:jc w:val="both"/>
        <w:rPr/>
      </w:pPr>
      <w:r>
        <w:rPr>
          <w:rFonts w:eastAsia="Calibri"/>
        </w:rPr>
        <w:t xml:space="preserve">3.3.6. иная информация, размещение которой в единой информационной системе предусмотрено Федеральным законом № 223-ФЗ и настоящим Положением, за исключением случаев, предусмотренных </w:t>
      </w:r>
      <w:hyperlink r:id="rId6">
        <w:r>
          <w:rPr>
            <w:rStyle w:val="ListLabel2"/>
            <w:rFonts w:eastAsia="Calibri"/>
          </w:rPr>
          <w:t>частями 15</w:t>
        </w:r>
      </w:hyperlink>
      <w:r>
        <w:rPr>
          <w:rFonts w:eastAsia="Calibri"/>
        </w:rPr>
        <w:t xml:space="preserve"> и </w:t>
      </w:r>
      <w:hyperlink r:id="rId7">
        <w:r>
          <w:rPr>
            <w:rStyle w:val="ListLabel2"/>
            <w:rFonts w:eastAsia="Calibri"/>
          </w:rPr>
          <w:t>16</w:t>
        </w:r>
      </w:hyperlink>
      <w:r>
        <w:rPr>
          <w:rFonts w:eastAsia="Calibri"/>
        </w:rPr>
        <w:t xml:space="preserve"> статьи 4 Федерального закона № 223-ФЗ. </w:t>
      </w:r>
    </w:p>
    <w:p>
      <w:pPr>
        <w:pStyle w:val="Normal"/>
        <w:ind w:firstLine="567"/>
        <w:jc w:val="both"/>
        <w:rPr>
          <w:rFonts w:eastAsia="Calibri"/>
        </w:rPr>
      </w:pPr>
      <w:r>
        <w:rPr>
          <w:rFonts w:eastAsia="Calibri"/>
        </w:rPr>
        <w:t>3.4.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pPr>
        <w:pStyle w:val="Normal"/>
        <w:ind w:firstLine="567"/>
        <w:jc w:val="both"/>
        <w:rPr/>
      </w:pPr>
      <w:r>
        <w:rPr/>
        <w:t>3.5. Не позднее 10-го числа месяца, следующего за отчетным месяцем, в единой информационной системе размещаются:</w:t>
      </w:r>
    </w:p>
    <w:p>
      <w:pPr>
        <w:pStyle w:val="Normal"/>
        <w:suppressAutoHyphens w:val="false"/>
        <w:ind w:firstLine="567"/>
        <w:jc w:val="both"/>
        <w:rPr>
          <w:rFonts w:eastAsia="Calibri" w:eastAsiaTheme="minorHAnsi"/>
          <w:lang w:eastAsia="en-US"/>
        </w:rPr>
      </w:pPr>
      <w:r>
        <w:rPr/>
        <w:t xml:space="preserve">3.5.1. </w:t>
      </w:r>
      <w:bookmarkStart w:id="8" w:name="_Hlk84589116"/>
      <w:r>
        <w:rPr/>
        <w:t xml:space="preserve">Сведения </w:t>
      </w:r>
      <w:r>
        <w:rPr>
          <w:rFonts w:eastAsia="Calibri" w:eastAsiaTheme="minorHAnsi"/>
          <w:lang w:eastAsia="en-US"/>
        </w:rPr>
        <w:t>о заключенных договорах</w:t>
      </w:r>
      <w:bookmarkEnd w:id="8"/>
      <w:r>
        <w:rPr/>
        <w:t xml:space="preserve">, предусмотренные </w:t>
      </w:r>
      <w:r>
        <w:rPr>
          <w:rFonts w:eastAsia="Calibri" w:eastAsiaTheme="minorHAnsi"/>
          <w:lang w:eastAsia="en-US"/>
        </w:rPr>
        <w:t>Постановлением Правительства РФ от 10.09.2012 N 908 "Об утверждении Положения о размещении в единой информационной системе информации о закупке"</w:t>
      </w:r>
      <w:bookmarkStart w:id="9" w:name="_Hlk84588993"/>
      <w:bookmarkEnd w:id="9"/>
    </w:p>
    <w:p>
      <w:pPr>
        <w:pStyle w:val="Normal"/>
        <w:ind w:firstLine="567"/>
        <w:jc w:val="both"/>
        <w:rPr>
          <w:rFonts w:eastAsia="Calibri"/>
          <w:bCs/>
        </w:rPr>
      </w:pPr>
      <w:r>
        <w:rPr>
          <w:rFonts w:eastAsia="Calibri"/>
        </w:rPr>
        <w:t>3.5.2.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bookmarkStart w:id="10" w:name="_Hlk84589812"/>
      <w:bookmarkEnd w:id="10"/>
    </w:p>
    <w:p>
      <w:pPr>
        <w:pStyle w:val="Normal"/>
        <w:ind w:firstLine="567"/>
        <w:jc w:val="both"/>
        <w:rPr/>
      </w:pPr>
      <w:r>
        <w:rPr/>
        <w:t>3.6.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N 223-ФЗ.</w:t>
      </w:r>
    </w:p>
    <w:p>
      <w:pPr>
        <w:pStyle w:val="Normal"/>
        <w:ind w:firstLine="567"/>
        <w:jc w:val="both"/>
        <w:rPr>
          <w:rFonts w:eastAsia="Calibri"/>
          <w:bCs/>
        </w:rPr>
      </w:pPr>
      <w:r>
        <w:rPr/>
        <w:t xml:space="preserve">3.7. </w:t>
      </w:r>
      <w:r>
        <w:rPr>
          <w:rFonts w:eastAsia="Calibri"/>
          <w:bCs/>
        </w:rPr>
        <w:t>Заказчик вправе не размещать в единой информационной системе следующие сведения:</w:t>
      </w:r>
    </w:p>
    <w:p>
      <w:pPr>
        <w:pStyle w:val="Normal"/>
        <w:spacing w:before="240" w:after="0"/>
        <w:ind w:firstLine="567"/>
        <w:jc w:val="both"/>
        <w:rPr>
          <w:rFonts w:eastAsia="Calibri"/>
          <w:bCs/>
        </w:rPr>
      </w:pPr>
      <w:r>
        <w:rPr>
          <w:rFonts w:eastAsia="Calibri"/>
          <w:bCs/>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pPr>
        <w:pStyle w:val="Normal"/>
        <w:spacing w:before="240" w:after="0"/>
        <w:ind w:firstLine="567"/>
        <w:jc w:val="both"/>
        <w:rPr>
          <w:rFonts w:eastAsia="Calibri"/>
          <w:bCs/>
        </w:rPr>
      </w:pPr>
      <w:r>
        <w:rPr>
          <w:rFonts w:eastAsia="Calibri"/>
          <w:bC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Normal"/>
        <w:spacing w:before="240" w:after="0"/>
        <w:ind w:firstLine="567"/>
        <w:jc w:val="both"/>
        <w:rPr>
          <w:rFonts w:eastAsia="Calibri"/>
          <w:bCs/>
        </w:rPr>
      </w:pPr>
      <w:r>
        <w:rPr>
          <w:rFonts w:eastAsia="Calibri"/>
          <w:bC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Normal"/>
        <w:ind w:firstLine="567"/>
        <w:jc w:val="both"/>
        <w:rPr/>
      </w:pPr>
      <w:r>
        <w:rPr/>
        <w:t xml:space="preserve">3.8. В течение 3 рабочих дней со дня заключения договора, </w:t>
      </w:r>
      <w:r>
        <w:rPr>
          <w:rFonts w:eastAsia="Calibri"/>
        </w:rPr>
        <w:t xml:space="preserve">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8">
        <w:r>
          <w:rPr>
            <w:rStyle w:val="ListLabel2"/>
            <w:rFonts w:eastAsia="Calibri"/>
          </w:rPr>
          <w:t>частью 15 статьи 4</w:t>
        </w:r>
      </w:hyperlink>
      <w:r>
        <w:rPr>
          <w:rFonts w:eastAsia="Calibri"/>
        </w:rPr>
        <w:t xml:space="preserve"> Федерального закона № 223-ФЗ, </w:t>
      </w:r>
      <w:r>
        <w:rPr/>
        <w:t xml:space="preserve">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w:t>
      </w:r>
    </w:p>
    <w:p>
      <w:pPr>
        <w:pStyle w:val="Normal"/>
        <w:tabs>
          <w:tab w:val="left" w:pos="900" w:leader="none"/>
          <w:tab w:val="left" w:pos="1080" w:leader="none"/>
        </w:tabs>
        <w:ind w:firstLine="567"/>
        <w:jc w:val="both"/>
        <w:rPr/>
      </w:pPr>
      <w:r>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исполнения, изменения или расторжения.</w:t>
      </w:r>
    </w:p>
    <w:p>
      <w:pPr>
        <w:pStyle w:val="Normal"/>
        <w:tabs>
          <w:tab w:val="left" w:pos="900" w:leader="none"/>
          <w:tab w:val="left" w:pos="1080" w:leader="none"/>
        </w:tabs>
        <w:ind w:firstLine="567"/>
        <w:jc w:val="both"/>
        <w:rPr/>
      </w:pPr>
      <w:r>
        <w:rPr/>
        <w:t>При этом если исполнение договора осуществляется в несколько этапов, информация и документы о результатах исполнения договора вносится Заказчиком в реестр договоров в течение десяти дней со дня полного исполнения договора.</w:t>
      </w:r>
    </w:p>
    <w:p>
      <w:pPr>
        <w:pStyle w:val="Normal"/>
        <w:ind w:firstLine="567"/>
        <w:jc w:val="both"/>
        <w:rPr>
          <w:rFonts w:eastAsia="Calibri"/>
        </w:rPr>
      </w:pPr>
      <w:r>
        <w:rPr/>
        <w:t xml:space="preserve">   </w:t>
      </w:r>
      <w:r>
        <w:rPr/>
        <w:t xml:space="preserve">3.9. </w:t>
      </w:r>
      <w:r>
        <w:rPr>
          <w:rFonts w:eastAsia="Calibri"/>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pPr>
        <w:pStyle w:val="Normal"/>
        <w:numPr>
          <w:ilvl w:val="1"/>
          <w:numId w:val="6"/>
        </w:numPr>
        <w:tabs>
          <w:tab w:val="left" w:pos="567" w:leader="none"/>
        </w:tabs>
        <w:ind w:left="0" w:firstLine="567"/>
        <w:jc w:val="both"/>
        <w:rPr/>
      </w:pPr>
      <w:r>
        <w:rPr/>
        <w:t>В реестр договоров не вносятся сведения и документы, которые в соответствии с Федеральным законом № 223-ФЗ и пунктом 3.7 настоящего Положения не подлежат размещению в единой информационной системе.</w:t>
      </w:r>
    </w:p>
    <w:p>
      <w:pPr>
        <w:pStyle w:val="Normal"/>
        <w:ind w:firstLine="567"/>
        <w:jc w:val="both"/>
        <w:rPr/>
      </w:pPr>
      <w:r>
        <w:rPr/>
        <w:t xml:space="preserve">3.11. В случае возникновения при ведении единой информационной системы федеральным органом исполнительной власти, уполномоченным на ведение такой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N 223-ФЗ и настоящим Положением, размещается на официальном сайте заказчика </w:t>
      </w:r>
      <w:r>
        <w:rPr>
          <w:lang w:val="en-US"/>
        </w:rPr>
        <w:t>lipfarm</w:t>
      </w:r>
      <w:r>
        <w:rPr/>
        <w:t>.</w:t>
      </w:r>
      <w:r>
        <w:rPr>
          <w:lang w:val="en-US"/>
        </w:rPr>
        <w:t>ru</w:t>
      </w:r>
      <w:r>
        <w:rPr/>
        <w:t xml:space="preserve"> с последующим ее размещением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pPr>
        <w:pStyle w:val="Normal"/>
        <w:ind w:firstLine="567"/>
        <w:jc w:val="both"/>
        <w:rPr/>
      </w:pPr>
      <w:r>
        <w:rPr/>
        <w:t xml:space="preserve">3.12. Информация, подлежащая размещению на официальном сайте заказчика </w:t>
      </w:r>
      <w:r>
        <w:rPr>
          <w:lang w:val="en-US"/>
        </w:rPr>
        <w:t>lipfarm</w:t>
      </w:r>
      <w:r>
        <w:rPr/>
        <w:t>.</w:t>
      </w:r>
      <w:r>
        <w:rPr>
          <w:lang w:val="en-US"/>
        </w:rPr>
        <w:t>ru</w:t>
      </w:r>
      <w:r>
        <w:rPr/>
        <w:t xml:space="preserve">, хранится на сайте заказчика в течение </w:t>
      </w:r>
      <w:hyperlink w:anchor="sub_10002">
        <w:r>
          <w:rPr>
            <w:rStyle w:val="ListLabel5"/>
          </w:rPr>
          <w:t>2</w:t>
        </w:r>
      </w:hyperlink>
      <w:r>
        <w:rPr/>
        <w:t xml:space="preserve"> лет.</w:t>
      </w:r>
      <w:bookmarkStart w:id="11" w:name="_Hlk107232976"/>
      <w:bookmarkEnd w:id="11"/>
    </w:p>
    <w:p>
      <w:pPr>
        <w:pStyle w:val="Normal"/>
        <w:ind w:firstLine="567"/>
        <w:jc w:val="both"/>
        <w:rPr/>
      </w:pPr>
      <w:r>
        <w:rPr/>
        <w:t>3.13.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изменения документации о закупке, заявки участников закупки, протоколы закупки, планы закупки хранятся заказчиком на бумажном носителе в течение срока, установленного законодательством Российской Федерации.</w:t>
      </w:r>
    </w:p>
    <w:p>
      <w:pPr>
        <w:pStyle w:val="Normal"/>
        <w:ind w:firstLine="567"/>
        <w:jc w:val="both"/>
        <w:rPr/>
      </w:pPr>
      <w:r>
        <w:rPr/>
        <w:t xml:space="preserve">3.14. </w:t>
      </w:r>
      <w:r>
        <w:rPr>
          <w:rFonts w:eastAsia="Calibri"/>
        </w:rPr>
        <w:t xml:space="preserve">До ввода в эксплуатацию единой информационной системы информация и документы, предусмотренные </w:t>
      </w:r>
      <w:r>
        <w:rPr/>
        <w:t>Федеральным законом N 223-ФЗ</w:t>
      </w:r>
      <w:r>
        <w:rPr>
          <w:rFonts w:eastAsia="Calibri"/>
        </w:rPr>
        <w:t>,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r>
          <w:rPr>
            <w:rStyle w:val="ListLabel2"/>
            <w:rFonts w:eastAsia="Calibri"/>
          </w:rPr>
          <w:t>www.zakupki.gov.ru</w:t>
        </w:r>
      </w:hyperlink>
      <w:r>
        <w:rPr>
          <w:rFonts w:eastAsia="Calibri"/>
        </w:rPr>
        <w:t>)</w:t>
      </w:r>
      <w:r>
        <w:rPr/>
        <w:t xml:space="preserve"> в порядке, установленном Правительством Российской Федерации.</w:t>
      </w:r>
    </w:p>
    <w:p>
      <w:pPr>
        <w:pStyle w:val="Normal"/>
        <w:ind w:firstLine="567"/>
        <w:jc w:val="both"/>
        <w:rPr>
          <w:rFonts w:eastAsia="Calibri"/>
        </w:rPr>
      </w:pPr>
      <w:r>
        <w:rPr>
          <w:rFonts w:eastAsia="Calibri"/>
        </w:rPr>
      </w:r>
    </w:p>
    <w:p>
      <w:pPr>
        <w:pStyle w:val="Normal"/>
        <w:ind w:firstLine="567"/>
        <w:jc w:val="center"/>
        <w:rPr>
          <w:b/>
          <w:b/>
          <w:caps/>
        </w:rPr>
      </w:pPr>
      <w:r>
        <w:rPr>
          <w:b/>
          <w:caps/>
        </w:rPr>
      </w:r>
    </w:p>
    <w:p>
      <w:pPr>
        <w:pStyle w:val="Normal"/>
        <w:ind w:firstLine="567"/>
        <w:jc w:val="center"/>
        <w:rPr>
          <w:b/>
          <w:b/>
          <w:caps/>
        </w:rPr>
      </w:pPr>
      <w:r>
        <w:rPr>
          <w:b/>
          <w:caps/>
        </w:rPr>
        <w:t>4. Планирование закупок</w:t>
      </w:r>
      <w:bookmarkStart w:id="12" w:name="_Hlk533590209"/>
      <w:bookmarkEnd w:id="12"/>
    </w:p>
    <w:p>
      <w:pPr>
        <w:pStyle w:val="Normal"/>
        <w:ind w:firstLine="567"/>
        <w:jc w:val="center"/>
        <w:rPr>
          <w:b/>
          <w:b/>
        </w:rPr>
      </w:pPr>
      <w:r>
        <w:rPr>
          <w:b/>
        </w:rPr>
      </w:r>
    </w:p>
    <w:p>
      <w:pPr>
        <w:pStyle w:val="Normal"/>
        <w:numPr>
          <w:ilvl w:val="1"/>
          <w:numId w:val="1"/>
        </w:numPr>
        <w:ind w:left="0" w:firstLine="567"/>
        <w:jc w:val="both"/>
        <w:rPr/>
      </w:pPr>
      <w:r>
        <w:rPr/>
        <w:t>Планирование закупок осуществляется посредством формирования, утверждения и ведения:</w:t>
      </w:r>
    </w:p>
    <w:p>
      <w:pPr>
        <w:pStyle w:val="Normal"/>
        <w:ind w:firstLine="567"/>
        <w:jc w:val="both"/>
        <w:rPr/>
      </w:pPr>
      <w:bookmarkStart w:id="13" w:name="sub_1611"/>
      <w:r>
        <w:rPr/>
        <w:t>1) плана закупки товаров, работ, услуг (далее – план закупки);</w:t>
      </w:r>
    </w:p>
    <w:p>
      <w:pPr>
        <w:pStyle w:val="Normal"/>
        <w:ind w:firstLine="567"/>
        <w:jc w:val="both"/>
        <w:rPr/>
      </w:pPr>
      <w:r>
        <w:rPr/>
        <w:t xml:space="preserve">2) плана закупки </w:t>
      </w:r>
      <w:r>
        <w:rPr>
          <w:rFonts w:eastAsia="Calibri"/>
        </w:rPr>
        <w:t xml:space="preserve">инновационной </w:t>
      </w:r>
      <w:r>
        <w:rPr>
          <w:rFonts w:eastAsia="Calibri"/>
          <w:bCs/>
        </w:rPr>
        <w:t>продукции, высокотехнологичной продукции, лекарственных средств</w:t>
      </w:r>
      <w:r>
        <w:rPr/>
        <w:t>.</w:t>
      </w:r>
      <w:bookmarkEnd w:id="13"/>
    </w:p>
    <w:p>
      <w:pPr>
        <w:pStyle w:val="Normal"/>
        <w:ind w:firstLine="567"/>
        <w:jc w:val="both"/>
        <w:rPr>
          <w:rFonts w:eastAsia="Calibri"/>
        </w:rPr>
      </w:pPr>
      <w:r>
        <w:rPr>
          <w:rFonts w:eastAsia="Calibri"/>
        </w:rPr>
        <w:t>В план закупки включаются сведения о закупке товаров (работ, услуг), необходимых для удовлетворения потребностей Заказчика.</w:t>
      </w:r>
    </w:p>
    <w:p>
      <w:pPr>
        <w:pStyle w:val="Normal"/>
        <w:numPr>
          <w:ilvl w:val="1"/>
          <w:numId w:val="1"/>
        </w:numPr>
        <w:tabs>
          <w:tab w:val="left" w:pos="1080" w:leader="none"/>
        </w:tabs>
        <w:ind w:left="0" w:firstLine="567"/>
        <w:jc w:val="both"/>
        <w:rPr/>
      </w:pPr>
      <w:r>
        <w:rPr/>
        <w:t xml:space="preserve">Сроки подготовки планов закупки товаров, работ, услуг, или закупки </w:t>
      </w:r>
      <w:r>
        <w:rPr>
          <w:rFonts w:eastAsia="Calibri"/>
        </w:rPr>
        <w:t xml:space="preserve">инновационной </w:t>
      </w:r>
      <w:r>
        <w:rPr>
          <w:rFonts w:eastAsia="Calibri"/>
          <w:bCs/>
        </w:rPr>
        <w:t>продукции, высокотехнологичной продукции, лекарственных средств</w:t>
      </w:r>
      <w:r>
        <w:rPr/>
        <w:t>, и, кроме того, порядок подготовки соответствующих проектов планов определяются заказчиком самостоятельно с учетом требований, установленных Правительством Российской Федерации, а также требований, предусмотренных нормативными документами заказчика.</w:t>
      </w:r>
      <w:bookmarkStart w:id="14" w:name="sub_1010"/>
      <w:bookmarkEnd w:id="14"/>
    </w:p>
    <w:p>
      <w:pPr>
        <w:pStyle w:val="Normal"/>
        <w:ind w:firstLine="567"/>
        <w:jc w:val="both"/>
        <w:rPr/>
      </w:pPr>
      <w:r>
        <w:rPr/>
        <w:t>4.3. План закупки товаров, работ, услуг формируется на срок не менее чем один год. Порядок формирования плана закупки товаров, работ, услуг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настоящим Положением, в том числе с учетом сроков проведения закупочных процедур, исходя из требуемой даты поставки товаров, работ, услуг. Требования к форме такого плана устанавливаются Правительством Российской Федерации.</w:t>
      </w:r>
    </w:p>
    <w:p>
      <w:pPr>
        <w:pStyle w:val="Normal"/>
        <w:ind w:firstLine="567"/>
        <w:jc w:val="both"/>
        <w:rPr/>
      </w:pPr>
      <w:r>
        <w:rPr/>
        <w:t>4.4. Корректировка плана закупок осуществляется в случае:</w:t>
      </w:r>
    </w:p>
    <w:p>
      <w:pPr>
        <w:pStyle w:val="Normal"/>
        <w:ind w:firstLine="567"/>
        <w:jc w:val="both"/>
        <w:rPr>
          <w:rFonts w:eastAsia="Calibri"/>
        </w:rPr>
      </w:pPr>
      <w:r>
        <w:rPr/>
        <w:t>а) в случае изменения потребности в товарах (работах, услугах),</w:t>
      </w:r>
      <w:r>
        <w:rPr>
          <w:rFonts w:eastAsia="Calibri"/>
        </w:rPr>
        <w:t xml:space="preserve"> в том числе сроков их приобретения, способа осуществления закупки и срока исполнения договора;</w:t>
      </w:r>
    </w:p>
    <w:p>
      <w:pPr>
        <w:pStyle w:val="Normal"/>
        <w:ind w:firstLine="567"/>
        <w:jc w:val="both"/>
        <w:rPr/>
      </w:pPr>
      <w:r>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pPr>
        <w:pStyle w:val="Normal"/>
        <w:ind w:firstLine="567"/>
        <w:jc w:val="both"/>
        <w:rPr/>
      </w:pPr>
      <w:r>
        <w:rPr/>
        <w:t>в) изменения финансового состояния предприятия;</w:t>
      </w:r>
    </w:p>
    <w:p>
      <w:pPr>
        <w:pStyle w:val="Normal"/>
        <w:ind w:firstLine="567"/>
        <w:jc w:val="both"/>
        <w:rPr/>
      </w:pPr>
      <w:r>
        <w:rPr/>
        <w:t>г) корректировки предмета договора;</w:t>
      </w:r>
    </w:p>
    <w:p>
      <w:pPr>
        <w:pStyle w:val="Normal"/>
        <w:ind w:firstLine="567"/>
        <w:jc w:val="both"/>
        <w:rPr/>
      </w:pPr>
      <w:r>
        <w:rPr/>
        <w:t>д) внесения изменений и дополнений в планы и программы предприятия, принятие новых планов и программ предприятия, требующих снижения   либо увеличения объема денежных средств;</w:t>
      </w:r>
    </w:p>
    <w:p>
      <w:pPr>
        <w:pStyle w:val="Normal"/>
        <w:ind w:firstLine="567"/>
        <w:jc w:val="both"/>
        <w:rPr/>
      </w:pPr>
      <w:r>
        <w:rPr/>
        <w:t xml:space="preserve">е) в иных случаях, возникших при осуществлении финансово-хозяйственной деятельности предприятия. </w:t>
      </w:r>
    </w:p>
    <w:p>
      <w:pPr>
        <w:pStyle w:val="Normal"/>
        <w:numPr>
          <w:ilvl w:val="1"/>
          <w:numId w:val="2"/>
        </w:numPr>
        <w:tabs>
          <w:tab w:val="left" w:pos="0" w:leader="none"/>
          <w:tab w:val="left" w:pos="720" w:leader="none"/>
        </w:tabs>
        <w:ind w:left="0" w:firstLine="567"/>
        <w:jc w:val="both"/>
        <w:rPr/>
      </w:pPr>
      <w:r>
        <w:rPr/>
        <w:t>Корректировка плана закупки осуществляется при необходимости как ежемесячно, так и оперативно в соответствии с требованиями Постановления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(далее Постановление № 932).</w:t>
      </w:r>
    </w:p>
    <w:p>
      <w:pPr>
        <w:pStyle w:val="Normal"/>
        <w:numPr>
          <w:ilvl w:val="1"/>
          <w:numId w:val="2"/>
        </w:numPr>
        <w:tabs>
          <w:tab w:val="left" w:pos="0" w:leader="none"/>
          <w:tab w:val="left" w:pos="1080" w:leader="none"/>
        </w:tabs>
        <w:ind w:left="0" w:firstLine="567"/>
        <w:jc w:val="both"/>
        <w:rPr/>
      </w:pPr>
      <w:r>
        <w:rPr/>
        <w:t xml:space="preserve">В плане закупок с учетом положений </w:t>
      </w:r>
      <w:hyperlink r:id="rId10">
        <w:r>
          <w:rPr>
            <w:rStyle w:val="ListLabel5"/>
          </w:rPr>
          <w:t>части 15 статьи 4</w:t>
        </w:r>
      </w:hyperlink>
      <w:r>
        <w:rPr/>
        <w:t xml:space="preserve"> Федерального закона № 223-ФЗ могут не отражаться сведения:</w:t>
      </w:r>
    </w:p>
    <w:p>
      <w:pPr>
        <w:pStyle w:val="Normal"/>
        <w:tabs>
          <w:tab w:val="left" w:pos="0" w:leader="none"/>
          <w:tab w:val="left" w:pos="567" w:leader="none"/>
        </w:tabs>
        <w:ind w:firstLine="567"/>
        <w:jc w:val="both"/>
        <w:rPr/>
      </w:pPr>
      <w:r>
        <w:rPr/>
        <w:tab/>
        <w:t>а) о закупке товаров, работ, услуг, стоимость которых не превышает 100 тыс. рублей, а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pPr>
        <w:pStyle w:val="Normal"/>
        <w:ind w:firstLine="567"/>
        <w:jc w:val="both"/>
        <w:rPr>
          <w:rFonts w:eastAsia="Calibri"/>
        </w:rPr>
      </w:pPr>
      <w:r>
        <w:rPr>
          <w:rFonts w:eastAsia="Calibri"/>
        </w:rPr>
        <w:t xml:space="preserve">    </w:t>
      </w:r>
      <w:r>
        <w:rPr>
          <w:rFonts w:eastAsia="Calibri"/>
        </w:rPr>
        <w:t>б)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pPr>
        <w:pStyle w:val="Normal"/>
        <w:ind w:firstLine="567"/>
        <w:jc w:val="both"/>
        <w:rPr>
          <w:rFonts w:eastAsia="Calibri"/>
        </w:rPr>
      </w:pPr>
      <w:r>
        <w:rPr>
          <w:rFonts w:eastAsia="Calibri"/>
        </w:rPr>
        <w:t xml:space="preserve">    </w:t>
      </w:r>
      <w:r>
        <w:rPr>
          <w:rFonts w:eastAsia="Calibri"/>
        </w:rPr>
        <w:t>в)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pPr>
        <w:pStyle w:val="Normal"/>
        <w:numPr>
          <w:ilvl w:val="1"/>
          <w:numId w:val="2"/>
        </w:numPr>
        <w:tabs>
          <w:tab w:val="left" w:pos="0" w:leader="none"/>
          <w:tab w:val="left" w:pos="1080" w:leader="none"/>
        </w:tabs>
        <w:ind w:left="0" w:firstLine="567"/>
        <w:jc w:val="both"/>
        <w:rPr/>
      </w:pPr>
      <w:r>
        <w:rPr/>
        <w:t xml:space="preserve">При проведении закупки конкурентным способом закупки информация о планируемой закупке должна быть размещена в установленном порядке до размещения извещения, документации о закупке в единой информационной системе. </w:t>
      </w:r>
    </w:p>
    <w:p>
      <w:pPr>
        <w:pStyle w:val="Normal"/>
        <w:tabs>
          <w:tab w:val="left" w:pos="0" w:leader="none"/>
          <w:tab w:val="left" w:pos="1080" w:leader="none"/>
        </w:tabs>
        <w:ind w:left="568" w:firstLine="567"/>
        <w:jc w:val="both"/>
        <w:rPr/>
      </w:pPr>
      <w:r>
        <w:rPr/>
        <w:t>План закупки товаров, работ, услуг содержит следующие сведения:</w:t>
      </w:r>
    </w:p>
    <w:p>
      <w:pPr>
        <w:pStyle w:val="Normal"/>
        <w:ind w:firstLine="567"/>
        <w:jc w:val="both"/>
        <w:rPr/>
      </w:pPr>
      <w:r>
        <w:rPr/>
        <w:t>1) наименование, адрес местонахождения, телефон и адрес электронной почты заказчика;</w:t>
      </w:r>
    </w:p>
    <w:p>
      <w:pPr>
        <w:pStyle w:val="Normal"/>
        <w:ind w:firstLine="567"/>
        <w:jc w:val="both"/>
        <w:rPr/>
      </w:pPr>
      <w:bookmarkStart w:id="15" w:name="sub_2011"/>
      <w:bookmarkEnd w:id="15"/>
      <w:r>
        <w:rPr/>
        <w:t>2) порядковый номер, который формируется последовательно с начала года;</w:t>
      </w:r>
    </w:p>
    <w:p>
      <w:pPr>
        <w:pStyle w:val="Normal"/>
        <w:ind w:firstLine="567"/>
        <w:jc w:val="both"/>
        <w:rPr/>
      </w:pPr>
      <w:bookmarkStart w:id="16" w:name="sub_2012"/>
      <w:bookmarkEnd w:id="16"/>
      <w:r>
        <w:rPr/>
        <w:t>3) 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1">
        <w:r>
          <w:rPr>
            <w:rStyle w:val="ListLabel5"/>
          </w:rPr>
          <w:t>ОКВЭД</w:t>
        </w:r>
      </w:hyperlink>
      <w:r>
        <w:rPr/>
        <w:t xml:space="preserve"> 2)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продукции по видам экономической деятельности (ОКПД 2) с обязательным заполнением разделов, классов и рекомендуемым заполнением </w:t>
      </w:r>
      <w:r>
        <w:rPr>
          <w:rFonts w:eastAsia="Calibri"/>
        </w:rPr>
        <w:t>подклассов, групп и подгрупп, видов продукции (услуг, работ), а также категорий и подкатегорий продукции (услуг, работ)</w:t>
      </w:r>
      <w:r>
        <w:rPr/>
        <w:t>;</w:t>
      </w:r>
    </w:p>
    <w:p>
      <w:pPr>
        <w:pStyle w:val="Normal"/>
        <w:ind w:firstLine="567"/>
        <w:jc w:val="both"/>
        <w:rPr/>
      </w:pPr>
      <w:bookmarkStart w:id="17" w:name="sub_2013"/>
      <w:bookmarkEnd w:id="17"/>
      <w:r>
        <w:rP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pPr>
        <w:pStyle w:val="Normal"/>
        <w:ind w:firstLine="567"/>
        <w:jc w:val="both"/>
        <w:rPr/>
      </w:pPr>
      <w:bookmarkStart w:id="18" w:name="sub_2014"/>
      <w:bookmarkEnd w:id="18"/>
      <w:r>
        <w:rPr/>
        <w:t>5) единицы измерения закупаемых товаров (работ, услуг) и код по Общероссийскому классификатору единиц измерения (</w:t>
      </w:r>
      <w:hyperlink r:id="rId12">
        <w:r>
          <w:rPr>
            <w:rStyle w:val="ListLabel5"/>
          </w:rPr>
          <w:t>ОКЕИ</w:t>
        </w:r>
      </w:hyperlink>
      <w:r>
        <w:rPr/>
        <w:t>);</w:t>
      </w:r>
    </w:p>
    <w:p>
      <w:pPr>
        <w:pStyle w:val="Normal"/>
        <w:ind w:firstLine="567"/>
        <w:jc w:val="both"/>
        <w:rPr/>
      </w:pPr>
      <w:bookmarkStart w:id="19" w:name="sub_2015"/>
      <w:bookmarkEnd w:id="19"/>
      <w:r>
        <w:rPr/>
        <w:t>6) сведения о количестве (объеме) закупаемых товаров (работ, услуг) в натуральном выражении;</w:t>
      </w:r>
    </w:p>
    <w:p>
      <w:pPr>
        <w:pStyle w:val="Normal"/>
        <w:ind w:firstLine="567"/>
        <w:jc w:val="both"/>
        <w:rPr/>
      </w:pPr>
      <w:bookmarkStart w:id="20" w:name="sub_2016"/>
      <w:bookmarkEnd w:id="20"/>
      <w:r>
        <w:rPr/>
        <w:t>7) 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3">
        <w:r>
          <w:rPr>
            <w:rStyle w:val="ListLabel5"/>
          </w:rPr>
          <w:t>ОКАТО</w:t>
        </w:r>
      </w:hyperlink>
      <w:r>
        <w:rPr/>
        <w:t>);</w:t>
      </w:r>
    </w:p>
    <w:p>
      <w:pPr>
        <w:pStyle w:val="Normal"/>
        <w:ind w:firstLine="567"/>
        <w:jc w:val="both"/>
        <w:rPr/>
      </w:pPr>
      <w:bookmarkStart w:id="21" w:name="sub_2017"/>
      <w:bookmarkEnd w:id="21"/>
      <w:r>
        <w:rPr/>
        <w:t>8) сведения о начальной (максимальной) цене договора (цене лота);</w:t>
      </w:r>
    </w:p>
    <w:p>
      <w:pPr>
        <w:pStyle w:val="Normal"/>
        <w:ind w:firstLine="567"/>
        <w:jc w:val="both"/>
        <w:rPr/>
      </w:pPr>
      <w:bookmarkStart w:id="22" w:name="sub_2018"/>
      <w:bookmarkEnd w:id="22"/>
      <w:r>
        <w:rPr/>
        <w:t>9) планируемая дата или период размещения извещения о закупке (год, месяц);</w:t>
      </w:r>
    </w:p>
    <w:p>
      <w:pPr>
        <w:pStyle w:val="Normal"/>
        <w:ind w:firstLine="567"/>
        <w:jc w:val="both"/>
        <w:rPr/>
      </w:pPr>
      <w:bookmarkStart w:id="23" w:name="sub_2019"/>
      <w:bookmarkEnd w:id="23"/>
      <w:r>
        <w:rPr/>
        <w:t>10) срок исполнения договора (год, месяц);</w:t>
      </w:r>
    </w:p>
    <w:p>
      <w:pPr>
        <w:pStyle w:val="Normal"/>
        <w:ind w:firstLine="567"/>
        <w:jc w:val="both"/>
        <w:rPr/>
      </w:pPr>
      <w:bookmarkStart w:id="24" w:name="sub_2110"/>
      <w:bookmarkEnd w:id="24"/>
      <w:r>
        <w:rPr/>
        <w:t>11) способ закупки;</w:t>
      </w:r>
      <w:bookmarkStart w:id="25" w:name="sub_2111"/>
      <w:bookmarkEnd w:id="25"/>
    </w:p>
    <w:p>
      <w:pPr>
        <w:pStyle w:val="Normal"/>
        <w:ind w:firstLine="567"/>
        <w:jc w:val="both"/>
        <w:rPr/>
      </w:pPr>
      <w:r>
        <w:rPr/>
        <w:t>12) закупка в электронной форме (да/нет);</w:t>
      </w:r>
    </w:p>
    <w:p>
      <w:pPr>
        <w:pStyle w:val="Normal"/>
        <w:ind w:firstLine="567"/>
        <w:jc w:val="both"/>
        <w:rPr>
          <w:rFonts w:eastAsia="Calibri"/>
        </w:rPr>
      </w:pPr>
      <w:r>
        <w:rPr>
          <w:rFonts w:eastAsia="Calibri"/>
        </w:rPr>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pPr>
        <w:pStyle w:val="Normal"/>
        <w:ind w:firstLine="567"/>
        <w:jc w:val="both"/>
        <w:rPr>
          <w:rFonts w:eastAsia="Calibri"/>
        </w:rPr>
      </w:pPr>
      <w:r>
        <w:rPr>
          <w:rFonts w:eastAsia="Calibri"/>
        </w:rP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pPr>
        <w:pStyle w:val="Normal"/>
        <w:ind w:firstLine="567"/>
        <w:jc w:val="both"/>
        <w:rPr/>
      </w:pPr>
      <w:r>
        <w:rPr>
          <w:rFonts w:eastAsia="Calibri"/>
        </w:rPr>
        <w:t xml:space="preserve">15) об отнесении (об отсутствии критериев отнесения) закупки к перечню закупок, предусмотренных </w:t>
      </w:r>
      <w:hyperlink r:id="rId14">
        <w:r>
          <w:rPr>
            <w:rStyle w:val="ListLabel2"/>
            <w:rFonts w:eastAsia="Calibri"/>
          </w:rPr>
          <w:t>пунктом 7</w:t>
        </w:r>
      </w:hyperlink>
      <w:r>
        <w:rPr>
          <w:rFonts w:eastAsia="Calibri"/>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pPr>
        <w:pStyle w:val="Normal"/>
        <w:numPr>
          <w:ilvl w:val="1"/>
          <w:numId w:val="2"/>
        </w:numPr>
        <w:jc w:val="both"/>
        <w:rPr/>
      </w:pPr>
      <w:r>
        <w:rPr/>
        <w:t xml:space="preserve"> </w:t>
      </w:r>
      <w:r>
        <w:rPr/>
        <w:t>План закупки должен иметь помесячную или поквартальную разбивку.</w:t>
      </w:r>
    </w:p>
    <w:p>
      <w:pPr>
        <w:pStyle w:val="Normal"/>
        <w:numPr>
          <w:ilvl w:val="1"/>
          <w:numId w:val="2"/>
        </w:numPr>
        <w:ind w:left="0" w:firstLine="567"/>
        <w:jc w:val="both"/>
        <w:rPr/>
      </w:pPr>
      <w:r>
        <w:rPr/>
        <w:t>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pPr>
        <w:pStyle w:val="Normal"/>
        <w:ind w:firstLine="567"/>
        <w:jc w:val="center"/>
        <w:rPr>
          <w:b/>
          <w:b/>
          <w:caps/>
        </w:rPr>
      </w:pPr>
      <w:r>
        <w:rPr>
          <w:b/>
          <w:caps/>
        </w:rPr>
      </w:r>
    </w:p>
    <w:p>
      <w:pPr>
        <w:pStyle w:val="Normal"/>
        <w:ind w:firstLine="567"/>
        <w:jc w:val="center"/>
        <w:rPr>
          <w:b/>
          <w:b/>
          <w:caps/>
        </w:rPr>
      </w:pPr>
      <w:r>
        <w:rPr>
          <w:b/>
          <w:caps/>
        </w:rPr>
        <w:t xml:space="preserve">5. План закупки инновационной продукции, высокотехнологичной </w:t>
        <w:br/>
        <w:t>продукции и лекарственных средств</w:t>
      </w:r>
      <w:bookmarkStart w:id="26" w:name="_Hlk533590230"/>
      <w:bookmarkEnd w:id="26"/>
    </w:p>
    <w:p>
      <w:pPr>
        <w:pStyle w:val="Normal"/>
        <w:ind w:firstLine="567"/>
        <w:rPr>
          <w:b/>
          <w:b/>
          <w:caps/>
        </w:rPr>
      </w:pPr>
      <w:r>
        <w:rPr>
          <w:b/>
          <w:caps/>
        </w:rPr>
      </w:r>
    </w:p>
    <w:p>
      <w:pPr>
        <w:pStyle w:val="Normal"/>
        <w:numPr>
          <w:ilvl w:val="1"/>
          <w:numId w:val="3"/>
        </w:numPr>
        <w:tabs>
          <w:tab w:val="left" w:pos="1080" w:leader="none"/>
        </w:tabs>
        <w:ind w:left="0" w:firstLine="567"/>
        <w:jc w:val="both"/>
        <w:rPr/>
      </w:pPr>
      <w:hyperlink w:anchor="sub_10000">
        <w:r>
          <w:rPr>
            <w:rStyle w:val="ListLabel5"/>
          </w:rPr>
          <w:t>План</w:t>
        </w:r>
      </w:hyperlink>
      <w:r>
        <w:rPr/>
        <w:t xml:space="preserve"> закупки инновационной продукции, высокотехнологичной продукции и лекарственных средств формируется с учетом следующих особенностей:</w:t>
      </w:r>
    </w:p>
    <w:p>
      <w:pPr>
        <w:pStyle w:val="Normal"/>
        <w:ind w:firstLine="567"/>
        <w:jc w:val="both"/>
        <w:rPr/>
      </w:pPr>
      <w:bookmarkStart w:id="27" w:name="sub_2002"/>
      <w:bookmarkEnd w:id="27"/>
      <w:r>
        <w:rPr/>
        <w:t>1) </w:t>
      </w:r>
      <w:r>
        <w:rPr>
          <w:rFonts w:eastAsia="Calibri"/>
        </w:rPr>
        <w:t xml:space="preserve">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r:id="rId15">
        <w:r>
          <w:rPr>
            <w:rStyle w:val="ListLabel2"/>
            <w:rFonts w:eastAsia="Calibri"/>
          </w:rPr>
          <w:t>подпунктах 1</w:t>
        </w:r>
      </w:hyperlink>
      <w:r>
        <w:rPr>
          <w:rFonts w:eastAsia="Calibri"/>
        </w:rPr>
        <w:t xml:space="preserve"> - </w:t>
      </w:r>
      <w:hyperlink r:id="rId16">
        <w:r>
          <w:rPr>
            <w:rStyle w:val="ListLabel2"/>
            <w:rFonts w:eastAsia="Calibri"/>
          </w:rPr>
          <w:t>4</w:t>
        </w:r>
      </w:hyperlink>
      <w:r>
        <w:rPr>
          <w:rFonts w:eastAsia="Calibri"/>
        </w:rPr>
        <w:t xml:space="preserve">, </w:t>
      </w:r>
      <w:hyperlink r:id="rId17">
        <w:r>
          <w:rPr>
            <w:rStyle w:val="ListLabel2"/>
            <w:rFonts w:eastAsia="Calibri"/>
          </w:rPr>
          <w:t>8</w:t>
        </w:r>
      </w:hyperlink>
      <w:r>
        <w:rPr>
          <w:rFonts w:eastAsia="Calibri"/>
        </w:rPr>
        <w:t xml:space="preserve"> - </w:t>
      </w:r>
      <w:hyperlink r:id="rId18">
        <w:r>
          <w:rPr>
            <w:rStyle w:val="ListLabel2"/>
            <w:rFonts w:eastAsia="Calibri"/>
          </w:rPr>
          <w:t xml:space="preserve">10 пункта </w:t>
        </w:r>
      </w:hyperlink>
      <w:r>
        <w:rPr>
          <w:rFonts w:eastAsia="Calibri"/>
        </w:rPr>
        <w:t xml:space="preserve">4.7 настоящего Положения.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r:id="rId19">
        <w:r>
          <w:rPr>
            <w:rStyle w:val="ListLabel2"/>
            <w:rFonts w:eastAsia="Calibri"/>
          </w:rPr>
          <w:t>подпунктах 1</w:t>
        </w:r>
      </w:hyperlink>
      <w:r>
        <w:rPr>
          <w:rFonts w:eastAsia="Calibri"/>
        </w:rPr>
        <w:t xml:space="preserve"> - </w:t>
      </w:r>
      <w:hyperlink r:id="rId20">
        <w:r>
          <w:rPr>
            <w:rStyle w:val="ListLabel2"/>
            <w:rFonts w:eastAsia="Calibri"/>
          </w:rPr>
          <w:t>4</w:t>
        </w:r>
      </w:hyperlink>
      <w:r>
        <w:rPr>
          <w:rFonts w:eastAsia="Calibri"/>
        </w:rPr>
        <w:t xml:space="preserve">, </w:t>
      </w:r>
      <w:hyperlink r:id="rId21">
        <w:r>
          <w:rPr>
            <w:rStyle w:val="ListLabel2"/>
            <w:rFonts w:eastAsia="Calibri"/>
          </w:rPr>
          <w:t>9</w:t>
        </w:r>
      </w:hyperlink>
      <w:r>
        <w:rPr>
          <w:rFonts w:eastAsia="Calibri"/>
        </w:rPr>
        <w:t xml:space="preserve"> - </w:t>
      </w:r>
      <w:hyperlink r:id="rId22">
        <w:r>
          <w:rPr>
            <w:rStyle w:val="ListLabel2"/>
            <w:rFonts w:eastAsia="Calibri"/>
          </w:rPr>
          <w:t xml:space="preserve">10 пункта </w:t>
        </w:r>
      </w:hyperlink>
      <w:r>
        <w:rPr>
          <w:rFonts w:eastAsia="Calibri"/>
        </w:rPr>
        <w:t xml:space="preserve">4.7 настоящего Положения.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23">
        <w:r>
          <w:rPr>
            <w:rStyle w:val="ListLabel2"/>
            <w:rFonts w:eastAsia="Calibri"/>
          </w:rPr>
          <w:t>классификатора</w:t>
        </w:r>
      </w:hyperlink>
      <w:r>
        <w:rPr>
          <w:rFonts w:eastAsia="Calibri"/>
        </w:rPr>
        <w:t xml:space="preserve"> видов экономической деятельности (ОКВЭД 2) с заполнением разделов, подразделов и Общероссийского </w:t>
      </w:r>
      <w:hyperlink r:id="rId24">
        <w:r>
          <w:rPr>
            <w:rStyle w:val="ListLabel2"/>
            <w:rFonts w:eastAsia="Calibri"/>
          </w:rPr>
          <w:t>классификатора</w:t>
        </w:r>
      </w:hyperlink>
      <w:r>
        <w:rPr>
          <w:rFonts w:eastAsia="Calibri"/>
        </w:rPr>
        <w:t xml:space="preserve"> продукции по видам экономической деятельности (ОКПД 2) с заполнением разделов, подразделов;</w:t>
      </w:r>
    </w:p>
    <w:p>
      <w:pPr>
        <w:pStyle w:val="Normal"/>
        <w:ind w:firstLine="567"/>
        <w:jc w:val="both"/>
        <w:rPr/>
      </w:pPr>
      <w:bookmarkStart w:id="28" w:name="sub_2021"/>
      <w:bookmarkEnd w:id="28"/>
      <w:r>
        <w:rP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sub_2011">
        <w:r>
          <w:rPr>
            <w:rStyle w:val="ListLabel5"/>
          </w:rPr>
          <w:t>подпунктах 1 - 4</w:t>
        </w:r>
      </w:hyperlink>
      <w:r>
        <w:rPr/>
        <w:t xml:space="preserve">, </w:t>
      </w:r>
      <w:hyperlink w:anchor="sub_2019">
        <w:r>
          <w:rPr>
            <w:rStyle w:val="ListLabel5"/>
          </w:rPr>
          <w:t>9 и 10 пункта </w:t>
        </w:r>
      </w:hyperlink>
      <w:r>
        <w:rPr/>
        <w:t>4.7 настоящего Положения.</w:t>
      </w:r>
    </w:p>
    <w:p>
      <w:pPr>
        <w:pStyle w:val="Normal"/>
        <w:tabs>
          <w:tab w:val="left" w:pos="540" w:leader="none"/>
        </w:tabs>
        <w:ind w:firstLine="567"/>
        <w:jc w:val="both"/>
        <w:rPr/>
      </w:pPr>
      <w:r>
        <w:rPr/>
        <w:tab/>
        <w:t xml:space="preserve">При этом сведения, указанные в </w:t>
      </w:r>
      <w:hyperlink w:anchor="sub_2013">
        <w:r>
          <w:rPr>
            <w:rStyle w:val="ListLabel5"/>
          </w:rPr>
          <w:t>подпункте 3 пункта </w:t>
        </w:r>
      </w:hyperlink>
      <w:r>
        <w:rPr/>
        <w:t>4.7 настоящего Положения должны содержать предмет договора;</w:t>
      </w:r>
    </w:p>
    <w:p>
      <w:pPr>
        <w:pStyle w:val="Normal"/>
        <w:ind w:firstLine="567"/>
        <w:jc w:val="both"/>
        <w:rPr/>
      </w:pPr>
      <w:bookmarkStart w:id="29" w:name="sub_2022"/>
      <w:bookmarkEnd w:id="29"/>
      <w:r>
        <w:rPr/>
        <w:t xml:space="preserve">3) планируемая дата или период размещения в единой информационной системе извещения о проведении закупки, а также планируемый срок исполнения договора, предусмотренные </w:t>
      </w:r>
      <w:hyperlink w:anchor="sub_2019">
        <w:r>
          <w:rPr>
            <w:rStyle w:val="ListLabel5"/>
          </w:rPr>
          <w:t>подпунктами 9</w:t>
        </w:r>
      </w:hyperlink>
      <w:r>
        <w:rPr/>
        <w:t xml:space="preserve"> и </w:t>
      </w:r>
      <w:hyperlink w:anchor="sub_2110">
        <w:r>
          <w:rPr>
            <w:rStyle w:val="ListLabel5"/>
          </w:rPr>
          <w:t>10 пункта </w:t>
        </w:r>
      </w:hyperlink>
      <w:r>
        <w:rPr/>
        <w:t>4.7 настоящего Положения, указываются в формате «год»;</w:t>
      </w:r>
    </w:p>
    <w:p>
      <w:pPr>
        <w:pStyle w:val="Normal"/>
        <w:ind w:firstLine="567"/>
        <w:jc w:val="both"/>
        <w:rPr/>
      </w:pPr>
      <w:r>
        <w:rPr/>
        <w:t>4) корректировка плана закупки инновационной продукции, высокотехнологичной продукции и лекарственных средств осуществляется в порядке, предусмотренном пунктами 4.4-4.5 настоящего Положения.</w:t>
      </w:r>
      <w:bookmarkStart w:id="30" w:name="sub_2023"/>
      <w:bookmarkEnd w:id="30"/>
    </w:p>
    <w:p>
      <w:pPr>
        <w:pStyle w:val="Normal"/>
        <w:shd w:val="clear" w:color="auto" w:fill="FFFFFF"/>
        <w:tabs>
          <w:tab w:val="left" w:pos="900" w:leader="none"/>
        </w:tabs>
        <w:ind w:firstLine="567"/>
        <w:jc w:val="center"/>
        <w:rPr>
          <w:b/>
          <w:b/>
        </w:rPr>
      </w:pPr>
      <w:r>
        <w:rPr>
          <w:b/>
        </w:rPr>
      </w:r>
    </w:p>
    <w:p>
      <w:pPr>
        <w:pStyle w:val="Normal"/>
        <w:shd w:val="clear" w:color="auto" w:fill="FFFFFF"/>
        <w:tabs>
          <w:tab w:val="left" w:pos="900" w:leader="none"/>
        </w:tabs>
        <w:ind w:firstLine="567"/>
        <w:jc w:val="center"/>
        <w:rPr>
          <w:b/>
          <w:b/>
        </w:rPr>
      </w:pPr>
      <w:r>
        <w:rPr>
          <w:b/>
        </w:rPr>
        <w:t>6. СПОСОБЫ И УСЛОВИЯ ПРОВЕДЕНИЯ ПРОЦЕДУР ЗАКУПОК</w:t>
      </w:r>
    </w:p>
    <w:p>
      <w:pPr>
        <w:pStyle w:val="Normal"/>
        <w:shd w:val="clear" w:color="auto" w:fill="FFFFFF"/>
        <w:tabs>
          <w:tab w:val="left" w:pos="900" w:leader="none"/>
        </w:tabs>
        <w:ind w:firstLine="567"/>
        <w:jc w:val="center"/>
        <w:rPr>
          <w:b/>
          <w:b/>
        </w:rPr>
      </w:pPr>
      <w:r>
        <w:rPr>
          <w:b/>
        </w:rPr>
      </w:r>
    </w:p>
    <w:p>
      <w:pPr>
        <w:pStyle w:val="Normal"/>
        <w:ind w:firstLine="567"/>
        <w:jc w:val="center"/>
        <w:rPr>
          <w:b/>
          <w:b/>
          <w:bCs/>
        </w:rPr>
      </w:pPr>
      <w:r>
        <w:rPr>
          <w:b/>
          <w:bCs/>
        </w:rPr>
        <w:t>6.1. Способы закупок</w:t>
      </w:r>
      <w:bookmarkStart w:id="31" w:name="_Hlk533590247"/>
      <w:bookmarkEnd w:id="31"/>
    </w:p>
    <w:p>
      <w:pPr>
        <w:pStyle w:val="Normal"/>
        <w:ind w:firstLine="567"/>
        <w:jc w:val="center"/>
        <w:rPr>
          <w:b/>
          <w:b/>
          <w:bCs/>
        </w:rPr>
      </w:pPr>
      <w:r>
        <w:rPr>
          <w:b/>
          <w:bCs/>
        </w:rPr>
      </w:r>
    </w:p>
    <w:p>
      <w:pPr>
        <w:pStyle w:val="Normal"/>
        <w:ind w:firstLine="567"/>
        <w:jc w:val="both"/>
        <w:rPr/>
      </w:pPr>
      <w:r>
        <w:rPr/>
        <w:t>Настоящим Положением предусмотрены</w:t>
      </w:r>
      <w:r>
        <w:rPr>
          <w:rFonts w:eastAsia="Calibri"/>
        </w:rPr>
        <w:t xml:space="preserve"> конкурентные и неконкурентные закупки, устанавливается порядок осуществления таких закупок с учетом положений Федерального закона № 223-ФЗ.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r:id="rId25">
        <w:r>
          <w:rPr>
            <w:rStyle w:val="ListLabel2"/>
            <w:rFonts w:eastAsia="Calibri"/>
          </w:rPr>
          <w:t>пунктом 2 части 8</w:t>
        </w:r>
      </w:hyperlink>
      <w:r>
        <w:rPr>
          <w:rFonts w:eastAsia="Calibri"/>
        </w:rPr>
        <w:t xml:space="preserve"> статьи 3 Федерального закона № 223-ФЗ,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pPr>
        <w:pStyle w:val="Normal"/>
        <w:ind w:firstLine="567"/>
        <w:jc w:val="both"/>
        <w:rPr>
          <w:rFonts w:eastAsia="Calibri"/>
        </w:rPr>
      </w:pPr>
      <w:r>
        <w:rPr>
          <w:rFonts w:eastAsia="Calibri"/>
        </w:rPr>
        <w:t>6.1.1. Конкурентной закупкой является закупка, осуществляемая с соблюдением одновременно следующих условий:</w:t>
      </w:r>
    </w:p>
    <w:p>
      <w:pPr>
        <w:pStyle w:val="Normal"/>
        <w:spacing w:before="0" w:after="0"/>
        <w:ind w:firstLine="567"/>
        <w:contextualSpacing/>
        <w:jc w:val="both"/>
        <w:rPr>
          <w:rFonts w:eastAsia="Calibri"/>
        </w:rPr>
      </w:pPr>
      <w:r>
        <w:rPr>
          <w:rFonts w:eastAsia="Calibri"/>
        </w:rPr>
        <w:t>1) информация о конкурентной закупке сообщается заказчиком одним из следующих способов:</w:t>
      </w:r>
    </w:p>
    <w:p>
      <w:pPr>
        <w:pStyle w:val="Normal"/>
        <w:spacing w:before="0" w:after="0"/>
        <w:ind w:firstLine="567"/>
        <w:contextualSpacing/>
        <w:jc w:val="both"/>
        <w:rPr>
          <w:rFonts w:eastAsia="Calibri"/>
        </w:rPr>
      </w:pPr>
      <w:r>
        <w:rPr>
          <w:rFonts w:eastAsia="Calibri"/>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pPr>
        <w:pStyle w:val="Normal"/>
        <w:spacing w:before="0" w:after="0"/>
        <w:ind w:firstLine="567"/>
        <w:contextualSpacing/>
        <w:jc w:val="both"/>
        <w:rPr/>
      </w:pPr>
      <w:r>
        <w:rPr>
          <w:rFonts w:eastAsia="Calibri"/>
        </w:rPr>
        <w:t xml:space="preserve">б) посредством направления приглашений принять участие в закрытой конкурентной закупке в случаях, которые предусмотрены </w:t>
      </w:r>
      <w:hyperlink r:id="rId26">
        <w:r>
          <w:rPr>
            <w:rStyle w:val="ListLabel2"/>
            <w:rFonts w:eastAsia="Calibri"/>
          </w:rPr>
          <w:t>статьей 3.5</w:t>
        </w:r>
      </w:hyperlink>
      <w:r>
        <w:rPr>
          <w:rFonts w:eastAsia="Calibri"/>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pPr>
        <w:pStyle w:val="Normal"/>
        <w:spacing w:before="0" w:after="0"/>
        <w:ind w:firstLine="567"/>
        <w:contextualSpacing/>
        <w:jc w:val="both"/>
        <w:rPr>
          <w:rFonts w:eastAsia="Calibri"/>
        </w:rPr>
      </w:pPr>
      <w:r>
        <w:rPr>
          <w:rFonts w:eastAsia="Calibri"/>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pPr>
        <w:pStyle w:val="Normal"/>
        <w:spacing w:before="0" w:after="0"/>
        <w:ind w:firstLine="567"/>
        <w:contextualSpacing/>
        <w:jc w:val="both"/>
        <w:rPr/>
      </w:pPr>
      <w:r>
        <w:rPr>
          <w:rFonts w:eastAsia="Calibri"/>
        </w:rPr>
        <w:t xml:space="preserve">3) описание предмета конкурентной закупки осуществляется с соблюдением требований </w:t>
      </w:r>
      <w:hyperlink r:id="rId27">
        <w:r>
          <w:rPr>
            <w:rStyle w:val="ListLabel2"/>
            <w:rFonts w:eastAsia="Calibri"/>
          </w:rPr>
          <w:t>части 6.1</w:t>
        </w:r>
      </w:hyperlink>
      <w:r>
        <w:rPr>
          <w:rFonts w:eastAsia="Calibri"/>
        </w:rPr>
        <w:t xml:space="preserve"> статьи 3 Федерального закона № 223-ФЗ.</w:t>
      </w:r>
    </w:p>
    <w:p>
      <w:pPr>
        <w:pStyle w:val="Normal"/>
        <w:spacing w:before="0" w:after="0"/>
        <w:ind w:firstLine="567"/>
        <w:contextualSpacing/>
        <w:jc w:val="both"/>
        <w:rPr>
          <w:rFonts w:eastAsia="Calibri"/>
        </w:rPr>
      </w:pPr>
      <w:r>
        <w:rPr>
          <w:rFonts w:eastAsia="Calibri"/>
        </w:rPr>
        <w:t>Конкурентные закупки осуществляются следующими способами:</w:t>
      </w:r>
    </w:p>
    <w:p>
      <w:pPr>
        <w:pStyle w:val="Normal"/>
        <w:numPr>
          <w:ilvl w:val="0"/>
          <w:numId w:val="7"/>
        </w:numPr>
        <w:spacing w:before="0" w:after="0"/>
        <w:ind w:left="539" w:firstLine="567"/>
        <w:contextualSpacing/>
        <w:jc w:val="both"/>
        <w:rPr>
          <w:rFonts w:eastAsia="Calibri"/>
        </w:rPr>
      </w:pPr>
      <w:r>
        <w:rPr>
          <w:rFonts w:eastAsia="Calibri"/>
        </w:rPr>
        <w:t>путем проведения торгов:</w:t>
      </w:r>
    </w:p>
    <w:p>
      <w:pPr>
        <w:pStyle w:val="Normal"/>
        <w:spacing w:before="0" w:after="0"/>
        <w:ind w:firstLine="567"/>
        <w:contextualSpacing/>
        <w:jc w:val="both"/>
        <w:rPr>
          <w:rFonts w:eastAsia="Calibri"/>
        </w:rPr>
      </w:pPr>
      <w:r>
        <w:rPr>
          <w:rFonts w:eastAsia="Calibri"/>
        </w:rPr>
        <w:t xml:space="preserve">- конкурс (открытый конкурс, конкурс в электронной форме, закрытый конкурс); </w:t>
      </w:r>
    </w:p>
    <w:p>
      <w:pPr>
        <w:pStyle w:val="Normal"/>
        <w:spacing w:before="0" w:after="0"/>
        <w:ind w:firstLine="567"/>
        <w:contextualSpacing/>
        <w:jc w:val="both"/>
        <w:rPr>
          <w:rFonts w:eastAsia="Calibri"/>
        </w:rPr>
      </w:pPr>
      <w:r>
        <w:rPr>
          <w:rFonts w:eastAsia="Calibri"/>
        </w:rPr>
        <w:t xml:space="preserve">- аукцион (открытый аукцион, аукцион в электронной форме, закрытый аукцион); </w:t>
      </w:r>
    </w:p>
    <w:p>
      <w:pPr>
        <w:pStyle w:val="Normal"/>
        <w:spacing w:before="0" w:after="0"/>
        <w:ind w:firstLine="567"/>
        <w:contextualSpacing/>
        <w:jc w:val="both"/>
        <w:rPr>
          <w:rFonts w:eastAsia="Calibri"/>
        </w:rPr>
      </w:pPr>
      <w:r>
        <w:rPr>
          <w:rFonts w:eastAsia="Calibri"/>
        </w:rPr>
        <w:t>- запрос котировок (запрос котировок в электронной форме, закрытый запрос котировок);</w:t>
      </w:r>
    </w:p>
    <w:p>
      <w:pPr>
        <w:pStyle w:val="Normal"/>
        <w:spacing w:before="0" w:after="0"/>
        <w:ind w:firstLine="567"/>
        <w:contextualSpacing/>
        <w:jc w:val="both"/>
        <w:rPr>
          <w:rFonts w:eastAsia="Calibri"/>
        </w:rPr>
      </w:pPr>
      <w:r>
        <w:rPr>
          <w:rFonts w:eastAsia="Calibri"/>
        </w:rPr>
        <w:t>- запрос предложений (запрос предложений в электронной форме, закрытый запрос предложений).</w:t>
      </w:r>
    </w:p>
    <w:p>
      <w:pPr>
        <w:pStyle w:val="Normal"/>
        <w:ind w:firstLine="567"/>
        <w:jc w:val="both"/>
        <w:rPr/>
      </w:pPr>
      <w:r>
        <w:rPr>
          <w:rFonts w:eastAsia="Calibri"/>
        </w:rPr>
        <w:t xml:space="preserve">6.1.2. Неконкурентной закупкой является закупка, условия осуществления которой не соответствуют условиям, предусмотренным </w:t>
      </w:r>
      <w:hyperlink r:id="rId28">
        <w:r>
          <w:rPr>
            <w:rStyle w:val="ListLabel2"/>
            <w:rFonts w:eastAsia="Calibri"/>
          </w:rPr>
          <w:t>частью 3</w:t>
        </w:r>
      </w:hyperlink>
      <w:r>
        <w:rPr>
          <w:rFonts w:eastAsia="Calibri"/>
        </w:rPr>
        <w:t xml:space="preserve"> статьи 3 Федерального закона № 223-ФЗ и пунктом 6.1.1 настоящего Положения. </w:t>
      </w:r>
    </w:p>
    <w:p>
      <w:pPr>
        <w:pStyle w:val="Normal"/>
        <w:ind w:firstLine="567"/>
        <w:jc w:val="both"/>
        <w:rPr>
          <w:rFonts w:eastAsia="Calibri"/>
        </w:rPr>
      </w:pPr>
      <w:r>
        <w:rPr>
          <w:rFonts w:eastAsia="Calibri"/>
        </w:rPr>
        <w:t xml:space="preserve">Способы неконкурентной закупки:  </w:t>
      </w:r>
    </w:p>
    <w:p>
      <w:pPr>
        <w:pStyle w:val="14"/>
        <w:numPr>
          <w:ilvl w:val="0"/>
          <w:numId w:val="5"/>
        </w:numPr>
        <w:spacing w:lineRule="auto" w:line="240" w:before="0" w:after="0"/>
        <w:ind w:left="720" w:firstLine="567"/>
        <w:jc w:val="both"/>
        <w:rPr>
          <w:rFonts w:ascii="Times New Roman" w:hAnsi="Times New Roman" w:cs="Times New Roman"/>
          <w:sz w:val="24"/>
          <w:szCs w:val="24"/>
        </w:rPr>
      </w:pPr>
      <w:r>
        <w:rPr>
          <w:rFonts w:cs="Times New Roman" w:ascii="Times New Roman" w:hAnsi="Times New Roman"/>
          <w:sz w:val="24"/>
          <w:szCs w:val="24"/>
        </w:rPr>
        <w:t>закупка у единственного поставщика (исполнителя, подрядчика);</w:t>
      </w:r>
    </w:p>
    <w:p>
      <w:pPr>
        <w:pStyle w:val="14"/>
        <w:numPr>
          <w:ilvl w:val="0"/>
          <w:numId w:val="5"/>
        </w:numPr>
        <w:spacing w:lineRule="auto" w:line="240" w:before="0" w:after="0"/>
        <w:ind w:left="720" w:firstLine="567"/>
        <w:jc w:val="both"/>
        <w:rPr>
          <w:rFonts w:ascii="Times New Roman" w:hAnsi="Times New Roman" w:cs="Times New Roman"/>
          <w:sz w:val="24"/>
          <w:szCs w:val="24"/>
        </w:rPr>
      </w:pPr>
      <w:r>
        <w:rPr>
          <w:rFonts w:cs="Times New Roman" w:ascii="Times New Roman" w:hAnsi="Times New Roman"/>
          <w:sz w:val="24"/>
          <w:szCs w:val="24"/>
        </w:rPr>
        <w:t>публичная неконкурентная закупка;</w:t>
      </w:r>
    </w:p>
    <w:p>
      <w:pPr>
        <w:pStyle w:val="14"/>
        <w:numPr>
          <w:ilvl w:val="0"/>
          <w:numId w:val="5"/>
        </w:numPr>
        <w:spacing w:lineRule="auto" w:line="240" w:before="0" w:after="0"/>
        <w:ind w:left="720" w:firstLine="567"/>
        <w:jc w:val="both"/>
        <w:rPr>
          <w:rFonts w:ascii="Times New Roman" w:hAnsi="Times New Roman" w:cs="Times New Roman"/>
          <w:sz w:val="24"/>
          <w:szCs w:val="24"/>
        </w:rPr>
      </w:pPr>
      <w:r>
        <w:rPr>
          <w:rFonts w:cs="Times New Roman" w:ascii="Times New Roman" w:hAnsi="Times New Roman"/>
          <w:sz w:val="24"/>
          <w:szCs w:val="24"/>
        </w:rPr>
        <w:t>прямая безальтернативная закупка;</w:t>
      </w:r>
    </w:p>
    <w:p>
      <w:pPr>
        <w:pStyle w:val="14"/>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6.1.3.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путем проведения конкурентных процедур в электронном виде.</w:t>
      </w:r>
    </w:p>
    <w:p>
      <w:pPr>
        <w:pStyle w:val="Normal"/>
        <w:ind w:firstLine="567"/>
        <w:jc w:val="center"/>
        <w:rPr>
          <w:b/>
          <w:b/>
          <w:bCs/>
        </w:rPr>
      </w:pPr>
      <w:r>
        <w:rPr>
          <w:b/>
          <w:bCs/>
        </w:rPr>
      </w:r>
    </w:p>
    <w:p>
      <w:pPr>
        <w:pStyle w:val="Normal"/>
        <w:ind w:firstLine="567"/>
        <w:jc w:val="center"/>
        <w:rPr>
          <w:b/>
          <w:b/>
          <w:bCs/>
        </w:rPr>
      </w:pPr>
      <w:r>
        <w:rPr>
          <w:b/>
          <w:bCs/>
        </w:rPr>
        <w:t>6.2. Особенности проведения процедур закупок</w:t>
      </w:r>
    </w:p>
    <w:p>
      <w:pPr>
        <w:pStyle w:val="Normal"/>
        <w:ind w:firstLine="567"/>
        <w:jc w:val="center"/>
        <w:rPr>
          <w:b/>
          <w:b/>
          <w:bCs/>
        </w:rPr>
      </w:pPr>
      <w:r>
        <w:rPr>
          <w:b/>
          <w:bCs/>
        </w:rPr>
      </w:r>
      <w:bookmarkStart w:id="32" w:name="_Hlk533590267"/>
      <w:bookmarkStart w:id="33" w:name="_Hlk533590267"/>
      <w:bookmarkEnd w:id="33"/>
    </w:p>
    <w:p>
      <w:pPr>
        <w:pStyle w:val="Normal"/>
        <w:ind w:firstLine="567"/>
        <w:jc w:val="both"/>
        <w:rPr/>
      </w:pPr>
      <w:r>
        <w:rPr/>
        <w:t>6.2.1. Конкурентные процедуры закупок могут проводиться среди неограниченного круга участников (открытые закупки), среди ограниченного круга участников (закрытые закупки).</w:t>
      </w:r>
    </w:p>
    <w:p>
      <w:pPr>
        <w:pStyle w:val="Normal"/>
        <w:ind w:firstLine="567"/>
        <w:jc w:val="both"/>
        <w:rPr/>
      </w:pPr>
      <w:r>
        <w:rPr/>
        <w:t xml:space="preserve">6.2.1.1. </w:t>
      </w:r>
      <w:r>
        <w:rPr>
          <w:rFonts w:eastAsia="Calibri"/>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9">
        <w:r>
          <w:rPr>
            <w:rStyle w:val="ListLabel2"/>
            <w:rFonts w:eastAsia="Calibri"/>
          </w:rPr>
          <w:t>пунктом 2</w:t>
        </w:r>
      </w:hyperlink>
      <w:r>
        <w:rPr>
          <w:rFonts w:eastAsia="Calibri"/>
        </w:rPr>
        <w:t xml:space="preserve"> или </w:t>
      </w:r>
      <w:hyperlink r:id="rId30">
        <w:r>
          <w:rPr>
            <w:rStyle w:val="ListLabel2"/>
            <w:rFonts w:eastAsia="Calibri"/>
          </w:rPr>
          <w:t>3 части 8 статьи 3.1</w:t>
        </w:r>
      </w:hyperlink>
      <w:r>
        <w:rPr>
          <w:rFonts w:eastAsia="Calibri"/>
        </w:rPr>
        <w:t xml:space="preserve"> Федерального закона № 223-ФЗ, или если в отношении такой закупки Правительством Российской Федерации принято решение в соответствии с </w:t>
      </w:r>
      <w:hyperlink r:id="rId31">
        <w:r>
          <w:rPr>
            <w:rStyle w:val="ListLabel2"/>
            <w:rFonts w:eastAsia="Calibri"/>
          </w:rPr>
          <w:t>частью 16 статьи 4</w:t>
        </w:r>
      </w:hyperlink>
      <w:r>
        <w:rPr>
          <w:rFonts w:eastAsia="Calibri"/>
        </w:rPr>
        <w:t xml:space="preserve"> Федерального закона № 223-ФЗ (далее также - закрытая конкурентная закупка).</w:t>
      </w:r>
    </w:p>
    <w:p>
      <w:pPr>
        <w:pStyle w:val="Normal"/>
        <w:ind w:firstLine="567"/>
        <w:jc w:val="both"/>
        <w:rPr/>
      </w:pPr>
      <w:r>
        <w:rPr/>
        <w:t>6.2.2. Закупки могут осуществляться:</w:t>
      </w:r>
    </w:p>
    <w:p>
      <w:pPr>
        <w:pStyle w:val="Normal"/>
        <w:ind w:firstLine="567"/>
        <w:jc w:val="both"/>
        <w:rPr/>
      </w:pPr>
      <w:r>
        <w:rPr/>
        <w:t>6.2.2.1. исключительно с использованием документов на бумажных носителях (при проведении закрытых закупок);</w:t>
      </w:r>
    </w:p>
    <w:p>
      <w:pPr>
        <w:pStyle w:val="Normal"/>
        <w:ind w:firstLine="567"/>
        <w:jc w:val="both"/>
        <w:rPr/>
      </w:pPr>
      <w:r>
        <w:rPr/>
        <w:t>6.2.2.2. исключительно с использованием документов в электронной форме (при проведении закупок в электронной форме);</w:t>
      </w:r>
    </w:p>
    <w:p>
      <w:pPr>
        <w:pStyle w:val="Normal"/>
        <w:ind w:firstLine="567"/>
        <w:jc w:val="both"/>
        <w:rPr/>
      </w:pPr>
      <w:r>
        <w:rPr/>
        <w:t>6.2.2.3. с использованием документов как на бумажных носителях, так и документов в электронной форме (при проведении открытых закупок, закупок с ограниченным участием)</w:t>
      </w:r>
    </w:p>
    <w:p>
      <w:pPr>
        <w:pStyle w:val="Normal"/>
        <w:ind w:firstLine="567"/>
        <w:jc w:val="both"/>
        <w:rPr/>
      </w:pPr>
      <w:r>
        <w:rPr/>
        <w:t>6.2.3. Процедуры закупок, в которых победитель определяется на основании нескольких критериев отбора (конкурс, запрос предложений), могут завершаться переторжкой в соответствии с документацией о закупке.</w:t>
      </w:r>
    </w:p>
    <w:p>
      <w:pPr>
        <w:pStyle w:val="Normal"/>
        <w:widowControl w:val="false"/>
        <w:shd w:val="clear" w:color="auto" w:fill="FFFFFF"/>
        <w:tabs>
          <w:tab w:val="left" w:pos="0" w:leader="none"/>
          <w:tab w:val="left" w:pos="1134" w:leader="none"/>
        </w:tabs>
        <w:ind w:firstLine="567"/>
        <w:jc w:val="both"/>
        <w:rPr/>
      </w:pPr>
      <w:r>
        <w:rPr/>
        <w:t xml:space="preserve"> </w:t>
      </w:r>
      <w:r>
        <w:rPr/>
        <w:t>6.2.4. В электронной форме осуществляются:</w:t>
      </w:r>
    </w:p>
    <w:p>
      <w:pPr>
        <w:pStyle w:val="Normal"/>
        <w:ind w:firstLine="567"/>
        <w:jc w:val="both"/>
        <w:rPr/>
      </w:pPr>
      <w:r>
        <w:rPr/>
        <w:t xml:space="preserve">- конкурентные закупки товаров, работ, услуг, определенных решением Правительства Российской Федерации в соответствии с ч. 4 ст. 3 Федерального закона N 223-ФЗ; </w:t>
      </w:r>
    </w:p>
    <w:p>
      <w:pPr>
        <w:pStyle w:val="Normal"/>
        <w:ind w:firstLine="567"/>
        <w:jc w:val="both"/>
        <w:rPr>
          <w:rFonts w:eastAsia="Calibri"/>
        </w:rPr>
      </w:pPr>
      <w:r>
        <w:rPr/>
        <w:t>-  к</w:t>
      </w:r>
      <w:r>
        <w:rPr>
          <w:rFonts w:eastAsia="Calibri"/>
        </w:rPr>
        <w:t xml:space="preserve">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w:t>
      </w:r>
    </w:p>
    <w:p>
      <w:pPr>
        <w:pStyle w:val="Normal"/>
        <w:tabs>
          <w:tab w:val="left" w:pos="3915" w:leader="none"/>
        </w:tabs>
        <w:ind w:firstLine="567"/>
        <w:jc w:val="both"/>
        <w:rPr/>
      </w:pPr>
      <w:r>
        <w:rPr/>
        <w:tab/>
      </w:r>
    </w:p>
    <w:p>
      <w:pPr>
        <w:pStyle w:val="Normal"/>
        <w:ind w:firstLine="567"/>
        <w:jc w:val="center"/>
        <w:rPr>
          <w:b/>
          <w:b/>
          <w:bCs/>
        </w:rPr>
      </w:pPr>
      <w:r>
        <w:rPr>
          <w:b/>
          <w:bCs/>
        </w:rPr>
        <w:t>6.3. Условия выбора способа закупки</w:t>
      </w:r>
    </w:p>
    <w:p>
      <w:pPr>
        <w:pStyle w:val="Normal"/>
        <w:ind w:firstLine="567"/>
        <w:jc w:val="center"/>
        <w:rPr>
          <w:b/>
          <w:b/>
          <w:bCs/>
          <w:color w:val="000080"/>
        </w:rPr>
      </w:pPr>
      <w:r>
        <w:rPr>
          <w:b/>
          <w:bCs/>
          <w:color w:val="000080"/>
        </w:rPr>
      </w:r>
      <w:bookmarkStart w:id="34" w:name="_Hlk533590289"/>
      <w:bookmarkStart w:id="35" w:name="_Hlk533590289"/>
      <w:bookmarkEnd w:id="35"/>
    </w:p>
    <w:p>
      <w:pPr>
        <w:pStyle w:val="Normal"/>
        <w:ind w:firstLine="567"/>
        <w:jc w:val="both"/>
        <w:rPr/>
      </w:pPr>
      <w:r>
        <w:rPr/>
        <w:t>6.3.1. Закупка товаров, работ, услуг путем проведения открытого конкурса осуществляется в случае,</w:t>
      </w:r>
      <w:r>
        <w:rPr>
          <w:rFonts w:eastAsia="Calibri"/>
          <w:b/>
          <w:bCs/>
        </w:rPr>
        <w:t xml:space="preserve"> </w:t>
      </w:r>
      <w:r>
        <w:rPr>
          <w:rFonts w:eastAsia="Calibri"/>
          <w:bCs/>
        </w:rPr>
        <w:t>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w:t>
      </w:r>
      <w:r>
        <w:rPr>
          <w:rFonts w:eastAsia="Calibri"/>
          <w:b/>
          <w:bCs/>
        </w:rPr>
        <w:t xml:space="preserve"> </w:t>
      </w:r>
      <w:r>
        <w:rPr>
          <w:rFonts w:eastAsia="Calibri"/>
          <w:bCs/>
        </w:rPr>
        <w:t xml:space="preserve">предусмотренных </w:t>
      </w:r>
      <w:hyperlink r:id="rId32">
        <w:r>
          <w:rPr>
            <w:rStyle w:val="ListLabel3"/>
            <w:rFonts w:eastAsia="Calibri"/>
            <w:bCs/>
          </w:rPr>
          <w:t xml:space="preserve">п. </w:t>
        </w:r>
      </w:hyperlink>
      <w:r>
        <w:rPr>
          <w:rFonts w:eastAsia="Calibri"/>
          <w:bCs/>
        </w:rPr>
        <w:t>9.9.8.4 настоящего Положения.</w:t>
      </w:r>
    </w:p>
    <w:p>
      <w:pPr>
        <w:pStyle w:val="Normal"/>
        <w:widowControl w:val="false"/>
        <w:numPr>
          <w:ilvl w:val="2"/>
          <w:numId w:val="4"/>
        </w:numPr>
        <w:shd w:val="clear" w:color="auto" w:fill="FFFFFF"/>
        <w:ind w:left="0" w:firstLine="567"/>
        <w:jc w:val="both"/>
        <w:rPr>
          <w:spacing w:val="-1"/>
        </w:rPr>
      </w:pPr>
      <w:r>
        <w:rPr/>
        <w:t>Закупка товаров, работ, услуг осуществляется путем проведения открытого двухэтапного конкурса в случае, когда заказчику необходимо провести переговоры с участниками закупки в целях определения одного или нескольких параметров:</w:t>
      </w:r>
    </w:p>
    <w:p>
      <w:pPr>
        <w:pStyle w:val="Normal"/>
        <w:shd w:val="clear" w:color="auto" w:fill="FFFFFF"/>
        <w:tabs>
          <w:tab w:val="left" w:pos="816" w:leader="none"/>
          <w:tab w:val="left" w:pos="900" w:leader="none"/>
        </w:tabs>
        <w:ind w:firstLine="567"/>
        <w:jc w:val="both"/>
        <w:rPr/>
      </w:pPr>
      <w:r>
        <w:rPr>
          <w:spacing w:val="-5"/>
        </w:rPr>
        <w:t xml:space="preserve">1) </w:t>
      </w:r>
      <w:r>
        <w:rPr/>
        <w:tab/>
        <w:t>условий исполнения договора, в случае, когда заказчику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pPr>
        <w:pStyle w:val="Normal"/>
        <w:shd w:val="clear" w:color="auto" w:fill="FFFFFF"/>
        <w:tabs>
          <w:tab w:val="left" w:pos="816" w:leader="none"/>
        </w:tabs>
        <w:ind w:firstLine="567"/>
        <w:jc w:val="both"/>
        <w:rPr/>
      </w:pPr>
      <w:r>
        <w:rPr>
          <w:spacing w:val="-4"/>
        </w:rPr>
        <w:t>2)</w:t>
      </w:r>
      <w:r>
        <w:rPr/>
        <w:tab/>
        <w:t xml:space="preserve"> требований к предмету закупки в случаях, когда заказчик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pPr>
        <w:pStyle w:val="Normal"/>
        <w:shd w:val="clear" w:color="auto" w:fill="FFFFFF"/>
        <w:tabs>
          <w:tab w:val="left" w:pos="816" w:leader="none"/>
        </w:tabs>
        <w:ind w:firstLine="567"/>
        <w:jc w:val="both"/>
        <w:rPr/>
      </w:pPr>
      <w:r>
        <w:rPr>
          <w:spacing w:val="-4"/>
        </w:rPr>
        <w:t>3)</w:t>
      </w:r>
      <w:r>
        <w:rPr/>
        <w:tab/>
        <w:t xml:space="preserve"> требований к поставщикам (исполнителям, подрядчикам) в случаях, когда заказчик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pPr>
        <w:pStyle w:val="Normal"/>
        <w:widowControl w:val="false"/>
        <w:numPr>
          <w:ilvl w:val="2"/>
          <w:numId w:val="4"/>
        </w:numPr>
        <w:shd w:val="clear" w:color="auto" w:fill="FFFFFF"/>
        <w:ind w:left="0" w:firstLine="567"/>
        <w:jc w:val="both"/>
        <w:rPr>
          <w:spacing w:val="-1"/>
        </w:rPr>
      </w:pPr>
      <w:r>
        <w:rPr/>
        <w:t>Закупка товаров, работ, услуг путем проведения открытого аукциона осуществляется при соблюдении одного из следующих условий:</w:t>
      </w:r>
    </w:p>
    <w:p>
      <w:pPr>
        <w:pStyle w:val="Normal"/>
        <w:widowControl w:val="false"/>
        <w:shd w:val="clear" w:color="auto" w:fill="FFFFFF"/>
        <w:tabs>
          <w:tab w:val="left" w:pos="540" w:leader="none"/>
          <w:tab w:val="left" w:pos="900" w:leader="none"/>
        </w:tabs>
        <w:ind w:firstLine="567"/>
        <w:jc w:val="both"/>
        <w:rPr>
          <w:spacing w:val="-1"/>
        </w:rPr>
      </w:pPr>
      <w:r>
        <w:rPr/>
        <w:tab/>
        <w:t>1) для заказчика важно единственное условие исполнения договора – цена договора;</w:t>
      </w:r>
    </w:p>
    <w:p>
      <w:pPr>
        <w:pStyle w:val="Normal"/>
        <w:widowControl w:val="false"/>
        <w:shd w:val="clear" w:color="auto" w:fill="FFFFFF"/>
        <w:tabs>
          <w:tab w:val="left" w:pos="540" w:leader="none"/>
          <w:tab w:val="left" w:pos="900" w:leader="none"/>
        </w:tabs>
        <w:ind w:firstLine="567"/>
        <w:jc w:val="both"/>
        <w:rPr/>
      </w:pPr>
      <w:r>
        <w:rPr/>
        <w:t>2) при возможности однозначно сформулировать требования к</w:t>
      </w:r>
      <w:r>
        <w:rPr>
          <w:spacing w:val="-1"/>
        </w:rPr>
        <w:t xml:space="preserve"> </w:t>
      </w:r>
      <w:r>
        <w:rPr/>
        <w:t>закупаемым товарам, работам, услугам, конкретные показатели товаров, выполнения и результатов работ, услуг.</w:t>
      </w:r>
    </w:p>
    <w:p>
      <w:pPr>
        <w:pStyle w:val="Normal"/>
        <w:widowControl w:val="false"/>
        <w:shd w:val="clear" w:color="auto" w:fill="FFFFFF"/>
        <w:tabs>
          <w:tab w:val="left" w:pos="540" w:leader="none"/>
        </w:tabs>
        <w:ind w:firstLine="567"/>
        <w:jc w:val="both"/>
        <w:rPr/>
      </w:pPr>
      <w:r>
        <w:rPr/>
        <w:tab/>
      </w:r>
      <w:bookmarkStart w:id="36" w:name="_Ref61107277"/>
      <w:r>
        <w:rPr/>
        <w:t>6.3.4. Закупка товаров, работ, услуг путем проведения запроса котировок осуществляется при соблюдении одного из следующих условий:</w:t>
      </w:r>
    </w:p>
    <w:p>
      <w:pPr>
        <w:pStyle w:val="ListParagraph"/>
        <w:widowControl w:val="false"/>
        <w:tabs>
          <w:tab w:val="left" w:pos="993" w:leader="none"/>
        </w:tabs>
        <w:ind w:left="0" w:firstLine="567"/>
        <w:jc w:val="both"/>
        <w:rPr>
          <w:spacing w:val="-1"/>
        </w:rPr>
      </w:pPr>
      <w:r>
        <w:rPr>
          <w:spacing w:val="-1"/>
        </w:rPr>
        <w:t>1) для заказчика важно единственное условие исполнения договора – цена договора, при сжатых сроках для проведения закупки;</w:t>
      </w:r>
    </w:p>
    <w:p>
      <w:pPr>
        <w:pStyle w:val="ListParagraph"/>
        <w:widowControl w:val="false"/>
        <w:ind w:left="0" w:firstLine="567"/>
        <w:jc w:val="both"/>
        <w:rPr>
          <w:spacing w:val="-1"/>
        </w:rPr>
      </w:pPr>
      <w:r>
        <w:rPr>
          <w:spacing w:val="-1"/>
        </w:rPr>
        <w:t>2) осуществляется закупка товаров, работ, услуг, для которых существует сложившийся функционирующий рынок;</w:t>
      </w:r>
    </w:p>
    <w:p>
      <w:pPr>
        <w:pStyle w:val="ListParagraph"/>
        <w:widowControl w:val="false"/>
        <w:ind w:left="0" w:firstLine="567"/>
        <w:jc w:val="both"/>
        <w:rPr>
          <w:spacing w:val="-1"/>
        </w:rPr>
      </w:pPr>
      <w:r>
        <w:rPr>
          <w:spacing w:val="-1"/>
        </w:rPr>
        <w:t>3) аукцион, в том числе с ограниченным участием, признан несостоявшимся, проведение повторного аукциона, в том числе с ограниченным участием, невозможно в связи со срочностью закупки и заказчиком не принято решение о заключении договора с единственным поставщиком (исполнителем, подрядчиком).</w:t>
      </w:r>
      <w:bookmarkStart w:id="37" w:name="_Ref76397509"/>
      <w:bookmarkEnd w:id="37"/>
    </w:p>
    <w:p>
      <w:pPr>
        <w:pStyle w:val="3"/>
        <w:tabs>
          <w:tab w:val="left" w:pos="1080" w:leader="none"/>
        </w:tabs>
        <w:ind w:left="0" w:firstLine="567"/>
        <w:rPr>
          <w:sz w:val="24"/>
          <w:szCs w:val="24"/>
        </w:rPr>
      </w:pPr>
      <w:r>
        <w:rPr>
          <w:sz w:val="24"/>
          <w:szCs w:val="24"/>
        </w:rPr>
        <w:t>6.3.5. Закупка товаров, работ, услуг путем проведения запроса предложений осуществляется при соблюдении одного из следующих условий:</w:t>
      </w:r>
      <w:bookmarkEnd w:id="36"/>
    </w:p>
    <w:p>
      <w:pPr>
        <w:pStyle w:val="ListParagraph"/>
        <w:widowControl w:val="false"/>
        <w:tabs>
          <w:tab w:val="left" w:pos="1416" w:leader="none"/>
        </w:tabs>
        <w:ind w:left="0" w:firstLine="567"/>
        <w:jc w:val="both"/>
        <w:rPr>
          <w:spacing w:val="-1"/>
        </w:rPr>
      </w:pPr>
      <w:r>
        <w:rPr/>
        <w:t xml:space="preserve">1) </w:t>
      </w:r>
      <w:r>
        <w:rPr>
          <w:spacing w:val="-1"/>
        </w:rPr>
        <w:t>для заказчика важны несколько условий исполнения договора, при этом сжатые сроки для проведения закупки не позволяют провести конкурс, а также конкурс с ограниченным участием;</w:t>
      </w:r>
    </w:p>
    <w:p>
      <w:pPr>
        <w:pStyle w:val="ListParagraph"/>
        <w:widowControl w:val="false"/>
        <w:tabs>
          <w:tab w:val="left" w:pos="1416" w:leader="none"/>
        </w:tabs>
        <w:ind w:left="0" w:firstLine="567"/>
        <w:jc w:val="both"/>
        <w:rPr>
          <w:spacing w:val="-1"/>
        </w:rPr>
      </w:pPr>
      <w:r>
        <w:rPr/>
        <w:t xml:space="preserve">2)  </w:t>
      </w:r>
      <w:r>
        <w:rPr>
          <w:spacing w:val="-1"/>
        </w:rPr>
        <w:t>сложность товаров, работ, услуг, являющихся предметом закупки, не позволяет провести запрос котировок;</w:t>
      </w:r>
    </w:p>
    <w:p>
      <w:pPr>
        <w:pStyle w:val="ListParagraph"/>
        <w:widowControl w:val="false"/>
        <w:ind w:left="0" w:firstLine="567"/>
        <w:jc w:val="both"/>
        <w:rPr>
          <w:spacing w:val="-1"/>
        </w:rPr>
      </w:pPr>
      <w:r>
        <w:rPr/>
        <w:t xml:space="preserve">3) </w:t>
      </w:r>
      <w:r>
        <w:rPr>
          <w:spacing w:val="-1"/>
        </w:rPr>
        <w:t xml:space="preserve"> конкурс признан несостоявшимся, проведение повторного конкурса  нецелесообразно в связи со срочностью закупки и заказчиком не принято решение о заключении договора с единственным поставщиком (исполнителем, подрядчиком);</w:t>
      </w:r>
    </w:p>
    <w:p>
      <w:pPr>
        <w:pStyle w:val="ListParagraph"/>
        <w:widowControl w:val="false"/>
        <w:ind w:left="0" w:firstLine="567"/>
        <w:jc w:val="both"/>
        <w:rPr>
          <w:spacing w:val="-1"/>
        </w:rPr>
      </w:pPr>
      <w:r>
        <w:rPr>
          <w:spacing w:val="-1"/>
        </w:rPr>
        <w:t>4) для заказчика важны несколько условий исполнения договора</w:t>
      </w:r>
      <w:r>
        <w:rPr/>
        <w:t xml:space="preserve">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pPr>
        <w:pStyle w:val="14"/>
        <w:spacing w:lineRule="auto" w:line="240" w:before="0" w:after="0"/>
        <w:ind w:left="0" w:firstLine="567"/>
        <w:jc w:val="both"/>
        <w:rPr>
          <w:rFonts w:ascii="Times New Roman" w:hAnsi="Times New Roman" w:cs="Times New Roman"/>
        </w:rPr>
      </w:pPr>
      <w:r>
        <w:rPr>
          <w:rFonts w:cs="Times New Roman" w:ascii="Times New Roman" w:hAnsi="Times New Roman"/>
          <w:sz w:val="24"/>
          <w:szCs w:val="24"/>
        </w:rPr>
        <w:t xml:space="preserve">6.3.6. Заказчик вправе применять процедуру закупки у единственного поставщика (исполнителя, подрядчика) </w:t>
      </w:r>
      <w:r>
        <w:rPr>
          <w:rFonts w:cs="Times New Roman" w:ascii="Times New Roman" w:hAnsi="Times New Roman"/>
        </w:rPr>
        <w:t>в следующих случаях:</w:t>
      </w:r>
    </w:p>
    <w:p>
      <w:pPr>
        <w:pStyle w:val="Normal"/>
        <w:ind w:firstLine="567"/>
        <w:jc w:val="both"/>
        <w:rPr>
          <w:color w:val="FF0000"/>
        </w:rPr>
      </w:pPr>
      <w:r>
        <w:rPr/>
        <w:t>6.3.6.1. закупки товаров, работ, услуг на сумму до 1500000 (Одного миллиона пятисот тысяч) рублей с НДС включительно. Для закупки по данному основанию инициатор закупки должен представить письменное обоснование;</w:t>
      </w:r>
    </w:p>
    <w:p>
      <w:pPr>
        <w:pStyle w:val="Normal"/>
        <w:ind w:firstLine="567"/>
        <w:jc w:val="both"/>
        <w:rPr/>
      </w:pPr>
      <w:r>
        <w:rPr/>
        <w:t>6.3.6.2. конкурентная процедура закупки была признана несостоявшейся и (или) ее проведение не привело к заключению договора;</w:t>
      </w:r>
    </w:p>
    <w:p>
      <w:pPr>
        <w:pStyle w:val="Normal"/>
        <w:ind w:firstLine="567"/>
        <w:jc w:val="both"/>
        <w:rPr/>
      </w:pPr>
      <w:r>
        <w:rPr/>
        <w:t>6.3.6.3. вследствие чрезвычайного события, документально подтвержденного, когда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pPr>
        <w:pStyle w:val="Normal"/>
        <w:ind w:firstLine="567"/>
        <w:jc w:val="both"/>
        <w:rPr/>
      </w:pPr>
      <w:r>
        <w:rPr/>
        <w:t>6.3.6.4. выполнения работ по мобилизационной подготовке в Российской Федерации;</w:t>
      </w:r>
    </w:p>
    <w:p>
      <w:pPr>
        <w:pStyle w:val="Normal"/>
        <w:ind w:firstLine="567"/>
        <w:jc w:val="both"/>
        <w:rPr/>
      </w:pPr>
      <w:r>
        <w:rPr/>
        <w:t>6.3.6.5. закупки услуг, связанных с направлением работника в служебную командировку, а также с участием и проведением различных мероприятий на основании приглашения на указанные мероприятия, в том числе форумах, конгрессах, съездах, выставках, ярмарках, совещаниях и проч.;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Normal"/>
        <w:ind w:firstLine="567"/>
        <w:jc w:val="both"/>
        <w:rPr/>
      </w:pPr>
      <w:r>
        <w:rPr/>
        <w:t>6.3.6.6. закупки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pPr>
        <w:pStyle w:val="Normal"/>
        <w:ind w:firstLine="567"/>
        <w:jc w:val="both"/>
        <w:rPr/>
      </w:pPr>
      <w:r>
        <w:rPr/>
        <w:t>6.3.6.7. 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на иные образовательные услуги;</w:t>
      </w:r>
    </w:p>
    <w:p>
      <w:pPr>
        <w:pStyle w:val="Normal"/>
        <w:ind w:firstLine="567"/>
        <w:jc w:val="both"/>
        <w:rPr/>
      </w:pPr>
      <w:r>
        <w:rPr/>
        <w:t>6.3.6.8. приобретения товаров (работ и услуг), связанных с обеспечением безопасности Предприятия, в том числе техническое обслуживание систем охранно-пожарной сигнализации помещений;</w:t>
      </w:r>
    </w:p>
    <w:p>
      <w:pPr>
        <w:pStyle w:val="Normal"/>
        <w:ind w:firstLine="567"/>
        <w:jc w:val="both"/>
        <w:rPr/>
      </w:pPr>
      <w:r>
        <w:rPr/>
        <w:t>6.3.6.9. приобретения товаров (работ и услуг), связанных с проведением технического обслуживания специальной аппаратуры, аттестации и контроля защищённости объектов автоматизации, обрабатывающих информацию, содержащую сведения, составляющие коммерческую тайну Предприятия, и выделенных помещений.</w:t>
      </w:r>
    </w:p>
    <w:p>
      <w:pPr>
        <w:pStyle w:val="Normal"/>
        <w:ind w:firstLine="567"/>
        <w:jc w:val="both"/>
        <w:rPr/>
      </w:pPr>
      <w:r>
        <w:rPr/>
        <w:t>6.3.6.10. закупки периодических изданий (в т.ч. подписка на газеты, журналы), сувенирной продукции;</w:t>
      </w:r>
    </w:p>
    <w:p>
      <w:pPr>
        <w:pStyle w:val="Normal"/>
        <w:ind w:firstLine="567"/>
        <w:jc w:val="both"/>
        <w:rPr/>
      </w:pPr>
      <w:r>
        <w:rPr/>
        <w:t>6.3.6.11. приобретения юридических услуг;</w:t>
      </w:r>
    </w:p>
    <w:p>
      <w:pPr>
        <w:pStyle w:val="Normal"/>
        <w:ind w:firstLine="567"/>
        <w:jc w:val="both"/>
        <w:rPr/>
      </w:pPr>
      <w:r>
        <w:rPr/>
        <w:t>6.3.6.12. приобретения услуг специализированной организации;</w:t>
      </w:r>
    </w:p>
    <w:p>
      <w:pPr>
        <w:pStyle w:val="Normal"/>
        <w:ind w:firstLine="567"/>
        <w:jc w:val="both"/>
        <w:rPr/>
      </w:pPr>
      <w:r>
        <w:rPr/>
        <w:t>6.3.6.13. приобретения услуг по созданию и поддержанию сайта Предприятия или информационных сайтов в интересах Предприятия; оплата услуг оператора электронной торговой площадки;</w:t>
      </w:r>
    </w:p>
    <w:p>
      <w:pPr>
        <w:pStyle w:val="Normal"/>
        <w:ind w:firstLine="567"/>
        <w:jc w:val="both"/>
        <w:rPr/>
      </w:pPr>
      <w:r>
        <w:rPr/>
        <w:t xml:space="preserve">6.3.6.14. приобретения услуг по созданию видеороликов, видеофильмов, телерадиопрограмм; по размещению материалов в средствах массовой информации и в сети Интернет; </w:t>
      </w:r>
    </w:p>
    <w:p>
      <w:pPr>
        <w:pStyle w:val="Normal"/>
        <w:ind w:firstLine="567"/>
        <w:jc w:val="both"/>
        <w:rPr/>
      </w:pPr>
      <w:r>
        <w:rPr/>
        <w:t xml:space="preserve">6.3.6.15.  закупки программных продуктов, информационных баз, систем электронного документооборота, правовых систем, информационных систем и их обновлений; в закупке услуг по разработке, внедрению, доработке, сопровождению, а также получения доступа к использованию программных продуктов, информационных баз; </w:t>
      </w:r>
    </w:p>
    <w:p>
      <w:pPr>
        <w:pStyle w:val="Normal"/>
        <w:ind w:firstLine="567"/>
        <w:jc w:val="both"/>
        <w:rPr/>
      </w:pPr>
      <w:r>
        <w:rPr/>
        <w:t>6.3.6.16. оплаты членских взносов и иных обязательных платежей на неконкурентной основе;</w:t>
      </w:r>
    </w:p>
    <w:p>
      <w:pPr>
        <w:pStyle w:val="Normal"/>
        <w:ind w:firstLine="567"/>
        <w:jc w:val="both"/>
        <w:rPr/>
      </w:pPr>
      <w:r>
        <w:rPr/>
        <w:t>6.3.6.17. закупки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pPr>
        <w:pStyle w:val="Normal"/>
        <w:ind w:firstLine="567"/>
        <w:jc w:val="both"/>
        <w:rPr>
          <w:szCs w:val="22"/>
        </w:rPr>
      </w:pPr>
      <w:r>
        <w:rPr/>
        <w:t xml:space="preserve">6.3.6.18. закупки услуг по техническому содержанию, охране и обслуживанию </w:t>
      </w:r>
      <w:r>
        <w:rPr>
          <w:szCs w:val="22"/>
        </w:rPr>
        <w:t>нежилых зданий (помещений), в которых Заказчик осуществляет свою деятельность;</w:t>
      </w:r>
    </w:p>
    <w:p>
      <w:pPr>
        <w:pStyle w:val="Normal"/>
        <w:ind w:firstLine="567"/>
        <w:jc w:val="both"/>
        <w:rPr/>
      </w:pPr>
      <w:r>
        <w:rPr/>
        <w:t>6.3.6.19.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pPr>
        <w:pStyle w:val="Normal"/>
        <w:ind w:firstLine="567"/>
        <w:jc w:val="both"/>
        <w:rPr/>
      </w:pPr>
      <w:r>
        <w:rPr/>
        <w:t>6.3.6.20.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pPr>
        <w:pStyle w:val="Normal"/>
        <w:shd w:val="clear" w:color="auto" w:fill="FFFFFF"/>
        <w:tabs>
          <w:tab w:val="left" w:pos="900" w:leader="none"/>
        </w:tabs>
        <w:ind w:firstLine="567"/>
        <w:jc w:val="both"/>
        <w:rPr/>
      </w:pPr>
      <w:r>
        <w:rPr/>
        <w:t>6.3.6.21. розничного приобретения работниками Предприятия товаров, работ, услуг для целей обеспечения хозяйственных и представительских нужд на сумму, не превышающую 30 тысяч рублей по одной закупке;</w:t>
      </w:r>
    </w:p>
    <w:p>
      <w:pPr>
        <w:pStyle w:val="Normal"/>
        <w:ind w:firstLine="567"/>
        <w:jc w:val="both"/>
        <w:rPr/>
      </w:pPr>
      <w:r>
        <w:rPr/>
        <w:t>6.3.6.22. пролонгации действующих договоров (контрактов), по истечению срока действия ранее заключенного Договора, взаимоотношения с единственным поставщиком продлеваются путем заключения новых обязательств, при условии, что качество товаров/работ/ услуг соответствует настоящим требованиям заказчика, а увеличение стоимости не превышает индекса потребительских цен, определяемого Федеральной службой государственной статистики,</w:t>
      </w:r>
      <w:r>
        <w:rPr>
          <w:sz w:val="28"/>
          <w:szCs w:val="28"/>
        </w:rPr>
        <w:t xml:space="preserve"> </w:t>
      </w:r>
      <w:r>
        <w:rPr/>
        <w:t>за последние 12 месяцев;</w:t>
      </w:r>
    </w:p>
    <w:p>
      <w:pPr>
        <w:pStyle w:val="Normal"/>
        <w:ind w:firstLine="567"/>
        <w:jc w:val="both"/>
        <w:rPr/>
      </w:pPr>
      <w:r>
        <w:rPr/>
        <w:t>6.3.6.23. при заключении договоров комиссии, оплата по которым осуществляется при реализации и отпуске медикаментов, принадлежащих ОГУП «Липецкфармация», а также агентских договоров;</w:t>
      </w:r>
    </w:p>
    <w:p>
      <w:pPr>
        <w:pStyle w:val="Normal"/>
        <w:ind w:firstLine="567"/>
        <w:jc w:val="both"/>
        <w:rPr/>
      </w:pPr>
      <w:r>
        <w:rPr/>
        <w:t xml:space="preserve">6.3.6.24. </w:t>
      </w:r>
      <w:r>
        <w:rPr>
          <w:szCs w:val="22"/>
        </w:rPr>
        <w:t xml:space="preserve">заключения договоров на услуги связи </w:t>
      </w:r>
      <w:r>
        <w:rPr/>
        <w:t>(внутризоновая, междугородная, международная, интернет, мобильная связь), в том числе услуги по предоставлению в пользование каналов связи;</w:t>
      </w:r>
    </w:p>
    <w:p>
      <w:pPr>
        <w:pStyle w:val="Normal"/>
        <w:ind w:firstLine="567"/>
        <w:jc w:val="both"/>
        <w:rPr/>
      </w:pPr>
      <w:r>
        <w:rPr/>
        <w:t>6.3.6.25. при заключении договоров на банковские продукты;</w:t>
      </w:r>
      <w:bookmarkStart w:id="38" w:name="_Hlk503866458"/>
      <w:bookmarkEnd w:id="38"/>
    </w:p>
    <w:p>
      <w:pPr>
        <w:pStyle w:val="Normal"/>
        <w:ind w:firstLine="567"/>
        <w:jc w:val="both"/>
        <w:rPr/>
      </w:pPr>
      <w:r>
        <w:rPr/>
        <w:t>6.3.6.26.</w:t>
      </w:r>
      <w:r>
        <w:rPr>
          <w:bCs/>
        </w:rPr>
        <w:t xml:space="preserve"> </w:t>
      </w:r>
      <w:r>
        <w:rPr/>
        <w:t>осуществление закупок автомобилей и специальной техники у завода-изготовителя или его официальных дилеров, в том числе с использованием кредитных и лизинговых договоров;</w:t>
      </w:r>
    </w:p>
    <w:p>
      <w:pPr>
        <w:pStyle w:val="Normal"/>
        <w:ind w:firstLine="567"/>
        <w:jc w:val="both"/>
        <w:rPr>
          <w:szCs w:val="22"/>
        </w:rPr>
      </w:pPr>
      <w:r>
        <w:rPr>
          <w:szCs w:val="22"/>
        </w:rPr>
        <w:t>6.3.6.27.</w:t>
      </w:r>
      <w:r>
        <w:rPr>
          <w:sz w:val="22"/>
          <w:szCs w:val="22"/>
        </w:rPr>
        <w:t xml:space="preserve"> </w:t>
      </w:r>
      <w:r>
        <w:rPr>
          <w:szCs w:val="22"/>
        </w:rPr>
        <w:t xml:space="preserve">заключение договоров на обеспечение транспорта Предприятия автомобильным топливом, </w:t>
      </w:r>
      <w:r>
        <w:rPr/>
        <w:t>горюче-смазочными материалами (в т. ч. по талонам, смарт-картам)</w:t>
      </w:r>
      <w:r>
        <w:rPr>
          <w:szCs w:val="22"/>
        </w:rPr>
        <w:t>;</w:t>
      </w:r>
    </w:p>
    <w:p>
      <w:pPr>
        <w:pStyle w:val="31"/>
        <w:tabs>
          <w:tab w:val="left" w:pos="709" w:leader="none"/>
          <w:tab w:val="left" w:pos="1701" w:leader="none"/>
        </w:tabs>
        <w:spacing w:lineRule="auto" w:line="240"/>
        <w:rPr>
          <w:sz w:val="24"/>
          <w:szCs w:val="22"/>
        </w:rPr>
      </w:pPr>
      <w:r>
        <w:rPr>
          <w:sz w:val="24"/>
          <w:szCs w:val="22"/>
        </w:rPr>
        <w:t>6.3.6.28. заключение договоров по техническому обслуживанию и /или/ ремонту автотранспортных средств;</w:t>
      </w:r>
    </w:p>
    <w:p>
      <w:pPr>
        <w:pStyle w:val="Normal"/>
        <w:ind w:firstLine="567"/>
        <w:jc w:val="both"/>
        <w:rPr/>
      </w:pPr>
      <w:r>
        <w:rPr>
          <w:szCs w:val="22"/>
        </w:rPr>
        <w:t>6.3.6.29. п</w:t>
      </w:r>
      <w:r>
        <w:rPr/>
        <w:t>риобретаются услуги по диагностике, техническому обслуживанию, утилизации вычислительной техники, телефонных аппаратов, копировально-печатающей, другой оргтехники, контрольно-кассовой техники, а также приобретаются расходные материалы к ней;</w:t>
      </w:r>
    </w:p>
    <w:p>
      <w:pPr>
        <w:pStyle w:val="Normal"/>
        <w:ind w:firstLine="567"/>
        <w:jc w:val="both"/>
        <w:rPr/>
      </w:pPr>
      <w:r>
        <w:rPr/>
        <w:t>6.3.6.30. приобретаются услуги по проведению медицинских осмотров, в том числе предварительных, периодических, предрейсовых и послерейсовых осмотров водителей;</w:t>
      </w:r>
    </w:p>
    <w:p>
      <w:pPr>
        <w:pStyle w:val="Normal"/>
        <w:ind w:firstLine="567"/>
        <w:jc w:val="both"/>
        <w:rPr/>
      </w:pPr>
      <w:r>
        <w:rPr/>
        <w:t>6.3.6.31. услуги инкассации;</w:t>
      </w:r>
    </w:p>
    <w:p>
      <w:pPr>
        <w:pStyle w:val="Normal"/>
        <w:ind w:firstLine="567"/>
        <w:jc w:val="both"/>
        <w:rPr/>
      </w:pPr>
      <w:r>
        <w:rPr/>
        <w:t>6.3.6.32. договор, дополнительное соглашение к Договору заключается на основании ранее заключенных Заказчиком предварительных, рамочных Договоров, предусматривающих возможность заключения такого Договора, дополнительного соглашения;</w:t>
      </w:r>
    </w:p>
    <w:p>
      <w:pPr>
        <w:pStyle w:val="Normal"/>
        <w:ind w:firstLine="567"/>
        <w:jc w:val="both"/>
        <w:rPr/>
      </w:pPr>
      <w:r>
        <w:rPr/>
        <w:t>6.3.7. Публичная неконкурентная закупка осуществляется при осуществлении коммерческой деятельности предприятия с целью полного и своевременного удовлетворение потребностей населения и медицинских организаций в высококачественной лекарственной помощи, извлечения прибыли в случае:</w:t>
      </w:r>
    </w:p>
    <w:p>
      <w:pPr>
        <w:pStyle w:val="Normal"/>
        <w:ind w:firstLine="567"/>
        <w:jc w:val="both"/>
        <w:rPr/>
      </w:pPr>
      <w:r>
        <w:rPr/>
        <w:t>6.3.7.1. закупки товаров, предусмотренных Федеральным законом от 12.04.2010 г. № 61-ФЗ «Об обращении лекарственных средств», товаров аптечного ассортимента с целью дальнейшей реализации указанных товаров;</w:t>
      </w:r>
    </w:p>
    <w:p>
      <w:pPr>
        <w:pStyle w:val="Normal"/>
        <w:ind w:firstLine="567"/>
        <w:jc w:val="both"/>
        <w:rPr/>
      </w:pPr>
      <w:r>
        <w:rPr/>
        <w:t>6.3.7.2. возникновения потребности в продукции для исполнения обязательств по контракту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pPr>
        <w:pStyle w:val="Normal"/>
        <w:ind w:firstLine="567"/>
        <w:jc w:val="both"/>
        <w:rPr/>
      </w:pPr>
      <w:r>
        <w:rPr/>
        <w:t>6.3.7.3. необходимо проведение закупки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Предприятия и ограниченный объем предлагаемой закупки по сравнению с первоначальными закупками (не более 25%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работ или услуг, альтернативных рассматриваемым;</w:t>
      </w:r>
    </w:p>
    <w:p>
      <w:pPr>
        <w:pStyle w:val="Normal"/>
        <w:ind w:firstLine="567"/>
        <w:jc w:val="both"/>
        <w:rPr/>
      </w:pPr>
      <w:r>
        <w:rPr/>
        <w:t>6.3.7.4. закупки специфических видов медицинской продукции (закись азота, кислород, эфир, гипс, спирт этиловый для медицинских целей, наркотические средства и психотропные вещества, фторотан, дорогостоящие узко специфические лекарственные препараты, медикаменты, заявленные по срочным индивидуальным заказам);</w:t>
      </w:r>
    </w:p>
    <w:p>
      <w:pPr>
        <w:pStyle w:val="Normal"/>
        <w:ind w:firstLine="567"/>
        <w:jc w:val="both"/>
        <w:rPr/>
      </w:pPr>
      <w:r>
        <w:rPr/>
        <w:t>6.3.7.5.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pPr>
        <w:pStyle w:val="Normal"/>
        <w:ind w:firstLine="567"/>
        <w:jc w:val="both"/>
        <w:rPr/>
      </w:pPr>
      <w:r>
        <w:rPr/>
        <w:t xml:space="preserve">6.3.7.6.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а также </w:t>
      </w:r>
      <w:r>
        <w:rPr>
          <w:sz w:val="22"/>
          <w:szCs w:val="22"/>
        </w:rPr>
        <w:t>производителем продукции.</w:t>
      </w:r>
    </w:p>
    <w:p>
      <w:pPr>
        <w:pStyle w:val="Normal"/>
        <w:ind w:firstLine="567"/>
        <w:jc w:val="both"/>
        <w:rPr/>
      </w:pPr>
      <w:r>
        <w:rPr/>
        <w:t>6.3.8. Прямая безальтернативная закупка осуществляется при отсутствии возможности выбора поставщика в связи с фактическим отсутствием рынка или установленными действующим законодательством ограничениями в случае:</w:t>
      </w:r>
    </w:p>
    <w:p>
      <w:pPr>
        <w:pStyle w:val="Normal"/>
        <w:ind w:firstLine="567"/>
        <w:jc w:val="both"/>
        <w:rPr/>
      </w:pPr>
      <w:r>
        <w:rPr/>
        <w:t>6.3.8.1.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pPr>
        <w:pStyle w:val="Normal"/>
        <w:ind w:firstLine="567"/>
        <w:jc w:val="both"/>
        <w:rPr/>
      </w:pPr>
      <w:r>
        <w:rPr/>
        <w:t>6.3.8.2. закупки услуг по сбору, транспортировке, обработке и размещению твердых коммунальных отходов,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pPr>
        <w:pStyle w:val="Normal"/>
        <w:ind w:firstLine="567"/>
        <w:jc w:val="both"/>
        <w:rPr/>
      </w:pPr>
      <w:r>
        <w:rPr/>
        <w:t>6.3.8.3. закупки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pPr>
        <w:pStyle w:val="Normal"/>
        <w:ind w:firstLine="567"/>
        <w:jc w:val="both"/>
        <w:rPr/>
      </w:pPr>
      <w:r>
        <w:rPr/>
        <w:t>6.3.8.4. возникновения потребности в товарах, работах или услугах, производство,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pPr>
        <w:pStyle w:val="Normal"/>
        <w:ind w:firstLine="567"/>
        <w:jc w:val="both"/>
        <w:rPr/>
      </w:pPr>
      <w:r>
        <w:rPr/>
        <w:t>6.3.8.5. закупки у поставщика, обладающего уникальной компетенцией на рынке закупаемой продукции, оказываемых услуг, осуществляется в случаях, если поставщик, исполнитель обладает рядом исключительных факторов, включая, по крайне мере, один из следующих:</w:t>
      </w:r>
    </w:p>
    <w:p>
      <w:pPr>
        <w:pStyle w:val="Normal"/>
        <w:ind w:firstLine="567"/>
        <w:jc w:val="both"/>
        <w:rPr/>
      </w:pPr>
      <w:r>
        <w:rPr/>
        <w:t>- наличие индивидуальных или запатентованных особых способностей к созданию продукции, оказанию услуги;</w:t>
      </w:r>
    </w:p>
    <w:p>
      <w:pPr>
        <w:pStyle w:val="Normal"/>
        <w:ind w:firstLine="567"/>
        <w:jc w:val="both"/>
        <w:rPr/>
      </w:pPr>
      <w:r>
        <w:rPr/>
        <w:t>-   наличие уникальных разработок, технологий или навыков, недоступных конкурентам;</w:t>
      </w:r>
    </w:p>
    <w:p>
      <w:pPr>
        <w:pStyle w:val="Normal"/>
        <w:ind w:firstLine="567"/>
        <w:jc w:val="both"/>
        <w:rPr/>
      </w:pPr>
      <w:r>
        <w:rPr/>
        <w:t>-   наличие квалифицированного персонала, который достаточно сложно найти на рынке и на подготовку которого требует значительное время.</w:t>
      </w:r>
    </w:p>
    <w:p>
      <w:pPr>
        <w:pStyle w:val="Normal"/>
        <w:ind w:firstLine="567"/>
        <w:jc w:val="both"/>
        <w:rPr/>
      </w:pPr>
      <w:r>
        <w:rPr/>
        <w:t xml:space="preserve">6.3.9. Договоры, заключенные до момента утверждения настоящего Положения, действуют на прежних условиях. </w:t>
      </w:r>
    </w:p>
    <w:p>
      <w:pPr>
        <w:pStyle w:val="ConsNormal"/>
        <w:ind w:firstLine="567"/>
        <w:jc w:val="both"/>
        <w:rPr>
          <w:rFonts w:ascii="Times New Roman" w:hAnsi="Times New Roman" w:cs="Times New Roman"/>
          <w:sz w:val="24"/>
          <w:szCs w:val="24"/>
        </w:rPr>
      </w:pPr>
      <w:r>
        <w:rPr>
          <w:rFonts w:cs="Times New Roman" w:ascii="Times New Roman" w:hAnsi="Times New Roman"/>
          <w:sz w:val="24"/>
          <w:szCs w:val="24"/>
        </w:rPr>
        <w:t>6.3.10. Заказчик осуществляет выбор способа закупки исходя из требований, перечисленных в пунктах 6.1-6.3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 установленного пунктом 3 части 1 статьи 3 Федерального закона № 223-ФЗ.</w:t>
      </w:r>
    </w:p>
    <w:p>
      <w:pPr>
        <w:pStyle w:val="ConsNormal"/>
        <w:ind w:firstLine="567"/>
        <w:jc w:val="both"/>
        <w:rPr>
          <w:rFonts w:ascii="Times New Roman" w:hAnsi="Times New Roman" w:cs="Times New Roman"/>
          <w:sz w:val="24"/>
          <w:szCs w:val="24"/>
        </w:rPr>
      </w:pPr>
      <w:r>
        <w:rPr>
          <w:rFonts w:cs="Times New Roman" w:ascii="Times New Roman" w:hAnsi="Times New Roman"/>
          <w:sz w:val="24"/>
          <w:szCs w:val="24"/>
        </w:rPr>
        <w:t>6.3.11. Для более полного удовлетворения потребностей населения, медицинских и мелкооптовых организаций закупка товаров аптечного ассортимента осуществляется в соответствии с их торговыми наименованиями.</w:t>
      </w:r>
      <w:bookmarkStart w:id="39" w:name="_Hlk485889350"/>
      <w:bookmarkEnd w:id="39"/>
    </w:p>
    <w:p>
      <w:pPr>
        <w:pStyle w:val="ConsNormal"/>
        <w:ind w:firstLine="567"/>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S3"/>
        <w:tabs>
          <w:tab w:val="left" w:pos="4680" w:leader="none"/>
        </w:tabs>
        <w:ind w:left="189" w:firstLine="567"/>
        <w:rPr>
          <w:rFonts w:ascii="Times New Roman" w:hAnsi="Times New Roman" w:cs="Times New Roman"/>
          <w:bCs w:val="false"/>
          <w:sz w:val="24"/>
          <w:szCs w:val="24"/>
        </w:rPr>
      </w:pPr>
      <w:r>
        <w:rPr>
          <w:rFonts w:cs="Times New Roman" w:ascii="Times New Roman" w:hAnsi="Times New Roman"/>
          <w:caps/>
          <w:color w:val="auto"/>
          <w:sz w:val="24"/>
          <w:szCs w:val="24"/>
        </w:rPr>
        <w:t>7. ЗАКУПКИ</w:t>
      </w:r>
      <w:r>
        <w:rPr>
          <w:rFonts w:cs="Times New Roman" w:ascii="Times New Roman" w:hAnsi="Times New Roman"/>
          <w:caps/>
          <w:color w:val="auto"/>
          <w:sz w:val="20"/>
          <w:szCs w:val="20"/>
        </w:rPr>
        <w:t xml:space="preserve"> </w:t>
      </w:r>
      <w:r>
        <w:rPr>
          <w:rFonts w:cs="Times New Roman" w:ascii="Times New Roman" w:hAnsi="Times New Roman"/>
          <w:caps/>
          <w:color w:val="auto"/>
          <w:sz w:val="24"/>
          <w:szCs w:val="24"/>
        </w:rPr>
        <w:t xml:space="preserve">У </w:t>
      </w:r>
      <w:r>
        <w:rPr>
          <w:rFonts w:cs="Times New Roman" w:ascii="Times New Roman" w:hAnsi="Times New Roman"/>
          <w:bCs w:val="false"/>
          <w:sz w:val="24"/>
          <w:szCs w:val="24"/>
        </w:rPr>
        <w:t>СУБЪЕКТЫ МАЛОГО И СРЕДНЕГО ПРЕДПРИНИМАТЕЛЬСТВА.</w:t>
      </w:r>
    </w:p>
    <w:p>
      <w:pPr>
        <w:pStyle w:val="S3"/>
        <w:tabs>
          <w:tab w:val="left" w:pos="4680" w:leader="none"/>
        </w:tabs>
        <w:ind w:left="189" w:firstLine="567"/>
        <w:rPr>
          <w:rFonts w:ascii="Times New Roman" w:hAnsi="Times New Roman" w:cs="Times New Roman"/>
          <w:bCs w:val="false"/>
          <w:sz w:val="24"/>
          <w:szCs w:val="24"/>
        </w:rPr>
      </w:pPr>
      <w:r>
        <w:rPr>
          <w:rFonts w:cs="Times New Roman" w:ascii="Times New Roman" w:hAnsi="Times New Roman"/>
          <w:caps/>
          <w:color w:val="auto"/>
          <w:sz w:val="24"/>
          <w:szCs w:val="24"/>
        </w:rPr>
        <w:t xml:space="preserve"> </w:t>
      </w:r>
      <w:r>
        <w:rPr>
          <w:rFonts w:cs="Times New Roman" w:ascii="Times New Roman" w:hAnsi="Times New Roman"/>
          <w:bCs w:val="false"/>
          <w:sz w:val="24"/>
          <w:szCs w:val="24"/>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p>
      <w:pPr>
        <w:pStyle w:val="S3"/>
        <w:tabs>
          <w:tab w:val="left" w:pos="1080" w:leader="none"/>
          <w:tab w:val="left" w:pos="4680" w:leader="none"/>
        </w:tabs>
        <w:ind w:firstLine="567"/>
        <w:jc w:val="left"/>
        <w:rPr>
          <w:rFonts w:ascii="Times New Roman" w:hAnsi="Times New Roman" w:cs="Times New Roman"/>
          <w:bCs w:val="false"/>
          <w:color w:val="auto"/>
          <w:sz w:val="24"/>
          <w:szCs w:val="24"/>
        </w:rPr>
      </w:pPr>
      <w:r>
        <w:rPr>
          <w:rFonts w:cs="Times New Roman" w:ascii="Times New Roman" w:hAnsi="Times New Roman"/>
          <w:bCs w:val="false"/>
          <w:color w:val="auto"/>
          <w:sz w:val="24"/>
          <w:szCs w:val="24"/>
        </w:rPr>
      </w:r>
      <w:bookmarkStart w:id="40" w:name="_Hlk533590311"/>
      <w:bookmarkStart w:id="41" w:name="_Hlk533590311"/>
      <w:bookmarkEnd w:id="41"/>
    </w:p>
    <w:p>
      <w:pPr>
        <w:pStyle w:val="Normal"/>
        <w:spacing w:before="0" w:after="0"/>
        <w:ind w:firstLine="567"/>
        <w:contextualSpacing/>
        <w:jc w:val="both"/>
        <w:rPr>
          <w:rFonts w:eastAsia="Calibri"/>
        </w:rPr>
      </w:pPr>
      <w:r>
        <w:rPr>
          <w:rFonts w:eastAsia="Calibri"/>
        </w:rPr>
        <w:t>7.1. Закупки у субъектов малого и среднего предпринимательства осуществляются путем проведения предусмотренных Положением о закупке торгов, иных способов закупки:</w:t>
      </w:r>
    </w:p>
    <w:p>
      <w:pPr>
        <w:pStyle w:val="Normal"/>
        <w:spacing w:before="0" w:after="0"/>
        <w:ind w:firstLine="567"/>
        <w:contextualSpacing/>
        <w:jc w:val="both"/>
        <w:rPr/>
      </w:pPr>
      <w:r>
        <w:rPr>
          <w:rFonts w:eastAsia="Calibri"/>
        </w:rPr>
        <w:t xml:space="preserve">а)   участниками которых являются любые лица, указанные в </w:t>
      </w:r>
      <w:hyperlink r:id="rId33">
        <w:r>
          <w:rPr>
            <w:rStyle w:val="ListLabel2"/>
            <w:rFonts w:eastAsia="Calibri"/>
          </w:rPr>
          <w:t>пункте</w:t>
        </w:r>
      </w:hyperlink>
      <w:r>
        <w:rPr>
          <w:rFonts w:eastAsia="Calibri"/>
        </w:rPr>
        <w:t xml:space="preserve"> 8.2. настоящего Положения о закупке, в том числе субъекты малого и среднего предпринимательства;</w:t>
      </w:r>
    </w:p>
    <w:p>
      <w:pPr>
        <w:pStyle w:val="Normal"/>
        <w:tabs>
          <w:tab w:val="left" w:pos="851" w:leader="none"/>
        </w:tabs>
        <w:spacing w:before="0" w:after="0"/>
        <w:ind w:firstLine="567"/>
        <w:contextualSpacing/>
        <w:jc w:val="both"/>
        <w:rPr>
          <w:rFonts w:eastAsia="Calibri"/>
        </w:rPr>
      </w:pPr>
      <w:r>
        <w:rPr>
          <w:rFonts w:eastAsia="Calibri"/>
        </w:rPr>
        <w:t>б) участниками которых являются только субъекты малого и среднего предпринимательства;</w:t>
      </w:r>
    </w:p>
    <w:p>
      <w:pPr>
        <w:pStyle w:val="Normal"/>
        <w:spacing w:before="0" w:after="0"/>
        <w:ind w:firstLine="567"/>
        <w:contextualSpacing/>
        <w:jc w:val="both"/>
        <w:rPr>
          <w:rFonts w:eastAsia="Calibri"/>
        </w:rPr>
      </w:pPr>
      <w:r>
        <w:rPr>
          <w:rFonts w:eastAsia="Calibri"/>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pPr>
        <w:pStyle w:val="ListParagraph"/>
        <w:spacing w:before="0" w:after="0"/>
        <w:ind w:left="0" w:firstLine="567"/>
        <w:contextualSpacing/>
        <w:jc w:val="both"/>
        <w:rPr>
          <w:szCs w:val="28"/>
        </w:rPr>
      </w:pPr>
      <w:r>
        <w:rPr>
          <w:szCs w:val="28"/>
        </w:rPr>
        <w:t>Особенности осуществления таких закупок предусматриваются в документации о закупке с учетом требований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pStyle w:val="Normal"/>
        <w:spacing w:before="0" w:after="0"/>
        <w:ind w:firstLine="567"/>
        <w:contextualSpacing/>
        <w:jc w:val="both"/>
        <w:rPr/>
      </w:pPr>
      <w:r>
        <w:rPr>
          <w:szCs w:val="28"/>
        </w:rPr>
        <w:t xml:space="preserve">   </w:t>
      </w:r>
      <w:r>
        <w:rPr>
          <w:szCs w:val="28"/>
        </w:rPr>
        <w:t xml:space="preserve">7.2. Участники закупки </w:t>
      </w:r>
      <w:r>
        <w:rPr>
          <w:rFonts w:eastAsia="Calibri"/>
        </w:rPr>
        <w:t xml:space="preserve">осуществляемой в соответствии с </w:t>
      </w:r>
      <w:hyperlink r:id="rId34">
        <w:r>
          <w:rPr>
            <w:rStyle w:val="ListLabel2"/>
            <w:rFonts w:eastAsia="Calibri"/>
          </w:rPr>
          <w:t xml:space="preserve">подпунктом "б" пункта </w:t>
        </w:r>
      </w:hyperlink>
      <w:r>
        <w:rPr>
          <w:rFonts w:eastAsia="Calibri"/>
        </w:rPr>
        <w:t xml:space="preserve">7.1 настоящего Положения, и привлекаемые участниками закупки, осуществляемой в соответствии с </w:t>
      </w:r>
      <w:hyperlink r:id="rId35">
        <w:r>
          <w:rPr>
            <w:rStyle w:val="ListLabel2"/>
            <w:rFonts w:eastAsia="Calibri"/>
          </w:rPr>
          <w:t xml:space="preserve">подпунктом "в" пункта </w:t>
        </w:r>
      </w:hyperlink>
      <w:r>
        <w:rPr>
          <w:rFonts w:eastAsia="Calibri"/>
        </w:rPr>
        <w:t xml:space="preserve">7.1 настоящего Положения, субподрядчики (соисполнители) из числа субъектов малого и среднего предпринимательства </w:t>
      </w:r>
      <w:r>
        <w:rPr>
          <w:szCs w:val="28"/>
        </w:rPr>
        <w:t>в заявках на участие обязаны декларировать свою принадлежность к субъектам малого и среднего предпринимательства (далее – субъекты МСП),</w:t>
      </w:r>
      <w:r>
        <w:rPr>
          <w:rFonts w:eastAsia="Calibri"/>
          <w:szCs w:val="28"/>
        </w:rPr>
        <w:t xml:space="preserve"> </w:t>
      </w:r>
      <w:r>
        <w:rPr>
          <w:iCs/>
          <w:szCs w:val="28"/>
        </w:rPr>
        <w:t xml:space="preserve">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36">
        <w:r>
          <w:rPr>
            <w:rStyle w:val="ListLabel6"/>
            <w:iCs/>
            <w:szCs w:val="28"/>
          </w:rPr>
          <w:t>законом</w:t>
        </w:r>
      </w:hyperlink>
      <w:r>
        <w:rPr>
          <w:iCs/>
          <w:szCs w:val="28"/>
        </w:rPr>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
    <w:p>
      <w:pPr>
        <w:pStyle w:val="ListParagraph"/>
        <w:spacing w:before="0" w:after="0"/>
        <w:ind w:left="0" w:firstLine="567"/>
        <w:contextualSpacing/>
        <w:jc w:val="both"/>
        <w:rPr>
          <w:sz w:val="22"/>
        </w:rPr>
      </w:pPr>
      <w:r>
        <w:rPr>
          <w:rFonts w:eastAsia="Calibri"/>
          <w:bCs/>
        </w:rPr>
        <w:t xml:space="preserve">7.3. Конкурентная закупка в электронной форме, участниками которой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с </w:t>
      </w:r>
      <w:r>
        <w:rPr>
          <w:szCs w:val="28"/>
        </w:rPr>
        <w:t>учетом требований</w:t>
      </w:r>
      <w:r>
        <w:rPr>
          <w:rFonts w:eastAsia="Calibri"/>
          <w:bCs/>
        </w:rPr>
        <w:t xml:space="preserve"> Федерального закона № 223-ФЗ и </w:t>
      </w:r>
      <w:r>
        <w:rPr>
          <w:szCs w:val="28"/>
        </w:rPr>
        <w:t>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pStyle w:val="Normal"/>
        <w:spacing w:before="0" w:after="0"/>
        <w:ind w:firstLine="567"/>
        <w:contextualSpacing/>
        <w:jc w:val="both"/>
        <w:rPr>
          <w:rFonts w:eastAsia="Calibri"/>
          <w:bCs/>
        </w:rPr>
      </w:pPr>
      <w:r>
        <w:rPr>
          <w:rFonts w:eastAsia="Calibri"/>
          <w:bCs/>
        </w:rPr>
        <w:t>7.4.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pPr>
        <w:pStyle w:val="Normal"/>
        <w:spacing w:before="0" w:after="0"/>
        <w:ind w:firstLine="567"/>
        <w:contextualSpacing/>
        <w:jc w:val="both"/>
        <w:rPr>
          <w:rFonts w:eastAsia="Calibri"/>
          <w:bCs/>
        </w:rPr>
      </w:pPr>
      <w:bookmarkStart w:id="42" w:name="Par2"/>
      <w:bookmarkEnd w:id="42"/>
      <w:r>
        <w:rPr>
          <w:rFonts w:eastAsia="Calibri"/>
          <w:bCs/>
        </w:rPr>
        <w:t>7.5.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pPr>
        <w:pStyle w:val="Normal"/>
        <w:spacing w:before="0" w:after="0"/>
        <w:ind w:firstLine="567"/>
        <w:contextualSpacing/>
        <w:jc w:val="both"/>
        <w:rPr>
          <w:rFonts w:eastAsia="Calibri"/>
          <w:bCs/>
        </w:rPr>
      </w:pPr>
      <w:r>
        <w:rPr>
          <w:rFonts w:eastAsia="Calibri"/>
          <w:bCs/>
        </w:rPr>
        <w:t>1) конкурса в электронной форме в следующие сроки:</w:t>
      </w:r>
    </w:p>
    <w:p>
      <w:pPr>
        <w:pStyle w:val="Normal"/>
        <w:spacing w:before="0" w:after="0"/>
        <w:ind w:firstLine="567"/>
        <w:contextualSpacing/>
        <w:jc w:val="both"/>
        <w:rPr>
          <w:rFonts w:eastAsia="Calibri"/>
          <w:bCs/>
        </w:rPr>
      </w:pPr>
      <w:r>
        <w:rPr>
          <w:rFonts w:eastAsia="Calibri"/>
          <w:bCs/>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pPr>
        <w:pStyle w:val="Normal"/>
        <w:spacing w:before="0" w:after="0"/>
        <w:ind w:firstLine="567"/>
        <w:contextualSpacing/>
        <w:jc w:val="both"/>
        <w:rPr>
          <w:rFonts w:eastAsia="Calibri"/>
          <w:bCs/>
        </w:rPr>
      </w:pPr>
      <w:r>
        <w:rPr>
          <w:rFonts w:eastAsia="Calibri"/>
          <w:bCs/>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pPr>
        <w:pStyle w:val="Normal"/>
        <w:spacing w:before="0" w:after="0"/>
        <w:ind w:firstLine="567"/>
        <w:contextualSpacing/>
        <w:jc w:val="both"/>
        <w:rPr>
          <w:rFonts w:eastAsia="Calibri"/>
          <w:bCs/>
        </w:rPr>
      </w:pPr>
      <w:r>
        <w:rPr>
          <w:rFonts w:eastAsia="Calibri"/>
          <w:bCs/>
        </w:rPr>
        <w:t>2) аукциона в электронной форме в следующие сроки:</w:t>
      </w:r>
    </w:p>
    <w:p>
      <w:pPr>
        <w:pStyle w:val="Normal"/>
        <w:spacing w:before="0" w:after="0"/>
        <w:ind w:firstLine="567"/>
        <w:contextualSpacing/>
        <w:jc w:val="both"/>
        <w:rPr>
          <w:rFonts w:eastAsia="Calibri"/>
          <w:bCs/>
        </w:rPr>
      </w:pPr>
      <w:r>
        <w:rPr>
          <w:rFonts w:eastAsia="Calibri"/>
          <w:bCs/>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pPr>
        <w:pStyle w:val="Normal"/>
        <w:spacing w:before="0" w:after="0"/>
        <w:ind w:firstLine="567"/>
        <w:contextualSpacing/>
        <w:jc w:val="both"/>
        <w:rPr>
          <w:rFonts w:eastAsia="Calibri"/>
          <w:bCs/>
        </w:rPr>
      </w:pPr>
      <w:r>
        <w:rPr>
          <w:rFonts w:eastAsia="Calibri"/>
          <w:bCs/>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pPr>
        <w:pStyle w:val="Normal"/>
        <w:spacing w:before="0" w:after="0"/>
        <w:ind w:firstLine="567"/>
        <w:contextualSpacing/>
        <w:jc w:val="both"/>
        <w:rPr>
          <w:rFonts w:eastAsia="Calibri"/>
          <w:bCs/>
        </w:rPr>
      </w:pPr>
      <w:r>
        <w:rPr>
          <w:rFonts w:eastAsia="Calibri"/>
          <w:bCs/>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pPr>
        <w:pStyle w:val="Normal"/>
        <w:spacing w:before="0" w:after="0"/>
        <w:ind w:firstLine="567"/>
        <w:contextualSpacing/>
        <w:jc w:val="both"/>
        <w:rPr>
          <w:rFonts w:eastAsia="Calibri"/>
          <w:bCs/>
        </w:rPr>
      </w:pPr>
      <w:r>
        <w:rPr>
          <w:rFonts w:eastAsia="Calibri"/>
          <w:bCs/>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pPr>
        <w:pStyle w:val="Normal"/>
        <w:spacing w:before="0" w:after="0"/>
        <w:ind w:firstLine="567"/>
        <w:contextualSpacing/>
        <w:jc w:val="both"/>
        <w:rPr>
          <w:rFonts w:eastAsia="Calibri"/>
          <w:bCs/>
        </w:rPr>
      </w:pPr>
      <w:bookmarkStart w:id="43" w:name="Par11"/>
      <w:bookmarkEnd w:id="43"/>
      <w:r>
        <w:rPr>
          <w:rFonts w:eastAsia="Calibri"/>
          <w:bCs/>
        </w:rPr>
        <w:t>7.5.1. Конкурс в электронной форме, участниками которого могут быть только субъекты малого и среднего предпринимательства (далее в целях пункта 7 - конкурс в электронной форме), может включать следующие этапы:</w:t>
      </w:r>
    </w:p>
    <w:p>
      <w:pPr>
        <w:pStyle w:val="Normal"/>
        <w:spacing w:before="0" w:after="0"/>
        <w:ind w:firstLine="567"/>
        <w:contextualSpacing/>
        <w:jc w:val="both"/>
        <w:rPr>
          <w:rFonts w:eastAsia="Calibri"/>
          <w:bCs/>
        </w:rPr>
      </w:pPr>
      <w:bookmarkStart w:id="44" w:name="Par12"/>
      <w:bookmarkEnd w:id="44"/>
      <w:r>
        <w:rPr>
          <w:rFonts w:eastAsia="Calibri"/>
          <w:bCs/>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Normal"/>
        <w:spacing w:before="0" w:after="0"/>
        <w:ind w:firstLine="567"/>
        <w:contextualSpacing/>
        <w:jc w:val="both"/>
        <w:rPr>
          <w:rFonts w:eastAsia="Calibri"/>
          <w:bCs/>
        </w:rPr>
      </w:pPr>
      <w:bookmarkStart w:id="45" w:name="Par13"/>
      <w:bookmarkEnd w:id="45"/>
      <w:r>
        <w:rPr>
          <w:rFonts w:eastAsia="Calibri"/>
          <w:bCs/>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pPr>
        <w:pStyle w:val="Normal"/>
        <w:spacing w:before="0" w:after="0"/>
        <w:ind w:firstLine="567"/>
        <w:contextualSpacing/>
        <w:jc w:val="both"/>
        <w:rPr>
          <w:rFonts w:eastAsia="Calibri"/>
          <w:bCs/>
        </w:rPr>
      </w:pPr>
      <w:r>
        <w:rPr>
          <w:rFonts w:eastAsia="Calibri"/>
          <w:bCs/>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pPr>
        <w:pStyle w:val="Normal"/>
        <w:spacing w:before="0" w:after="0"/>
        <w:ind w:firstLine="567"/>
        <w:contextualSpacing/>
        <w:jc w:val="both"/>
        <w:rPr>
          <w:rFonts w:eastAsia="Calibri"/>
          <w:bCs/>
        </w:rPr>
      </w:pPr>
      <w:bookmarkStart w:id="46" w:name="Par15"/>
      <w:bookmarkStart w:id="47" w:name="Par16"/>
      <w:bookmarkEnd w:id="46"/>
      <w:bookmarkEnd w:id="47"/>
      <w:r>
        <w:rPr>
          <w:rFonts w:eastAsia="Calibri"/>
          <w:bCs/>
        </w:rPr>
        <w:t>4)    исключен приказом ОГУП «Липецкфармация» от 29.06.2021 № 318;</w:t>
      </w:r>
    </w:p>
    <w:p>
      <w:pPr>
        <w:pStyle w:val="Normal"/>
        <w:ind w:firstLine="567"/>
        <w:jc w:val="both"/>
        <w:rPr>
          <w:rFonts w:eastAsia="Calibri" w:eastAsiaTheme="minorHAnsi"/>
          <w:lang w:eastAsia="en-US"/>
        </w:rPr>
      </w:pPr>
      <w:r>
        <w:rPr>
          <w:rFonts w:eastAsia="Calibri"/>
          <w:bCs/>
        </w:rPr>
        <w:t xml:space="preserve">5) </w:t>
      </w:r>
      <w:r>
        <w:rPr>
          <w:rFonts w:eastAsia="Calibri" w:eastAsiaTheme="minorHAnsi"/>
          <w:lang w:eastAsia="en-US"/>
        </w:rPr>
        <w:t>сопоставление дополнительных ценовых предложений участников конкурса в электронной форме о снижении цены договора.</w:t>
      </w:r>
    </w:p>
    <w:p>
      <w:pPr>
        <w:pStyle w:val="Normal"/>
        <w:spacing w:before="0" w:after="0"/>
        <w:ind w:firstLine="567"/>
        <w:contextualSpacing/>
        <w:jc w:val="both"/>
        <w:rPr/>
      </w:pPr>
      <w:r>
        <w:rPr>
          <w:rFonts w:eastAsia="Calibri"/>
          <w:bCs/>
        </w:rPr>
        <w:t xml:space="preserve">7.5.1.1. При включении в конкурс в электронной форме этапов, указанных в </w:t>
      </w:r>
      <w:hyperlink w:anchor="Par11">
        <w:r>
          <w:rPr>
            <w:rStyle w:val="ListLabel3"/>
            <w:rFonts w:eastAsia="Calibri"/>
            <w:bCs/>
          </w:rPr>
          <w:t xml:space="preserve">пункте </w:t>
        </w:r>
      </w:hyperlink>
      <w:r>
        <w:rPr>
          <w:rFonts w:eastAsia="Calibri"/>
          <w:bCs/>
        </w:rPr>
        <w:t>7.5.1, должны соблюдаться следующие правила:</w:t>
      </w:r>
    </w:p>
    <w:p>
      <w:pPr>
        <w:pStyle w:val="Normal"/>
        <w:spacing w:before="0" w:after="0"/>
        <w:ind w:firstLine="567"/>
        <w:contextualSpacing/>
        <w:jc w:val="both"/>
        <w:rPr/>
      </w:pPr>
      <w:r>
        <w:rPr>
          <w:rFonts w:eastAsia="Calibri"/>
          <w:bCs/>
        </w:rPr>
        <w:t xml:space="preserve">1) последовательность проведения этапов такого конкурса должна соответствовать очередности их перечисления в </w:t>
      </w:r>
      <w:hyperlink w:anchor="Par11">
        <w:r>
          <w:rPr>
            <w:rStyle w:val="ListLabel3"/>
            <w:rFonts w:eastAsia="Calibri"/>
            <w:bCs/>
          </w:rPr>
          <w:t>пункте 7.</w:t>
        </w:r>
      </w:hyperlink>
      <w:r>
        <w:rPr>
          <w:rFonts w:eastAsia="Calibri"/>
          <w:bCs/>
        </w:rPr>
        <w:t>5.1. Каждый этап конкурса в электронной форме может быть включен в него однократно;</w:t>
      </w:r>
    </w:p>
    <w:p>
      <w:pPr>
        <w:pStyle w:val="Normal"/>
        <w:spacing w:before="0" w:after="0"/>
        <w:ind w:firstLine="567"/>
        <w:contextualSpacing/>
        <w:jc w:val="both"/>
        <w:rPr/>
      </w:pPr>
      <w:r>
        <w:rPr>
          <w:rFonts w:eastAsia="Calibri"/>
          <w:bCs/>
        </w:rPr>
        <w:t>2) не допускается одновременное включение в конкурс в электронной форме этапов, предусмотренных под</w:t>
      </w:r>
      <w:hyperlink w:anchor="Par12">
        <w:r>
          <w:rPr>
            <w:rStyle w:val="ListLabel3"/>
            <w:rFonts w:eastAsia="Calibri"/>
            <w:bCs/>
          </w:rPr>
          <w:t>пунктами 1</w:t>
        </w:r>
      </w:hyperlink>
      <w:r>
        <w:rPr>
          <w:rFonts w:eastAsia="Calibri"/>
          <w:bCs/>
        </w:rPr>
        <w:t xml:space="preserve">) и </w:t>
      </w:r>
      <w:hyperlink w:anchor="Par13">
        <w:r>
          <w:rPr>
            <w:rStyle w:val="ListLabel3"/>
            <w:rFonts w:eastAsia="Calibri"/>
            <w:bCs/>
          </w:rPr>
          <w:t xml:space="preserve">2)  </w:t>
        </w:r>
      </w:hyperlink>
      <w:hyperlink w:anchor="Par11">
        <w:r>
          <w:rPr>
            <w:rStyle w:val="ListLabel3"/>
            <w:rFonts w:eastAsia="Calibri"/>
            <w:bCs/>
          </w:rPr>
          <w:t xml:space="preserve">пункта </w:t>
        </w:r>
      </w:hyperlink>
      <w:r>
        <w:rPr>
          <w:rFonts w:eastAsia="Calibri"/>
          <w:bCs/>
        </w:rPr>
        <w:t>7.5.1;</w:t>
      </w:r>
    </w:p>
    <w:p>
      <w:pPr>
        <w:pStyle w:val="Normal"/>
        <w:spacing w:before="0" w:after="0"/>
        <w:ind w:firstLine="567"/>
        <w:contextualSpacing/>
        <w:jc w:val="both"/>
        <w:rPr>
          <w:rFonts w:eastAsia="Calibri"/>
          <w:bCs/>
        </w:rPr>
      </w:pPr>
      <w:r>
        <w:rPr>
          <w:rFonts w:eastAsia="Calibri"/>
          <w:bCs/>
        </w:rPr>
        <w:t>3) в извещении о проведении конкурса в электронной форме должны быть установлены сроки проведения каждого этапа такого конкурса;</w:t>
      </w:r>
    </w:p>
    <w:p>
      <w:pPr>
        <w:pStyle w:val="Normal"/>
        <w:spacing w:before="0" w:after="0"/>
        <w:ind w:firstLine="567"/>
        <w:contextualSpacing/>
        <w:jc w:val="both"/>
        <w:rPr>
          <w:rFonts w:eastAsia="Calibri"/>
          <w:bCs/>
        </w:rPr>
      </w:pPr>
      <w:r>
        <w:rPr>
          <w:rFonts w:eastAsia="Calibri"/>
          <w:bCs/>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pPr>
        <w:pStyle w:val="Normal"/>
        <w:spacing w:before="0" w:after="0"/>
        <w:ind w:firstLine="567"/>
        <w:contextualSpacing/>
        <w:jc w:val="both"/>
        <w:rPr/>
      </w:pPr>
      <w:r>
        <w:rPr>
          <w:rFonts w:eastAsia="Calibri"/>
          <w:bCs/>
        </w:rPr>
        <w:t>5) если конкурс в электронной форме включает в себя этапы, предусмотренные под</w:t>
      </w:r>
      <w:hyperlink w:anchor="Par12">
        <w:r>
          <w:rPr>
            <w:rStyle w:val="ListLabel3"/>
            <w:rFonts w:eastAsia="Calibri"/>
            <w:bCs/>
          </w:rPr>
          <w:t>пунктами 1</w:t>
        </w:r>
      </w:hyperlink>
      <w:r>
        <w:rPr>
          <w:rFonts w:eastAsia="Calibri"/>
          <w:bCs/>
        </w:rPr>
        <w:t xml:space="preserve">) и </w:t>
      </w:r>
      <w:hyperlink w:anchor="Par13">
        <w:r>
          <w:rPr>
            <w:rStyle w:val="ListLabel3"/>
            <w:rFonts w:eastAsia="Calibri"/>
            <w:bCs/>
          </w:rPr>
          <w:t xml:space="preserve">2)  </w:t>
        </w:r>
      </w:hyperlink>
      <w:hyperlink w:anchor="Par11">
        <w:r>
          <w:rPr>
            <w:rStyle w:val="ListLabel3"/>
            <w:rFonts w:eastAsia="Calibri"/>
            <w:bCs/>
          </w:rPr>
          <w:t xml:space="preserve">пункта </w:t>
        </w:r>
      </w:hyperlink>
      <w:r>
        <w:rPr>
          <w:rFonts w:eastAsia="Calibri"/>
          <w:bCs/>
        </w:rPr>
        <w:t>7.5.1,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под</w:t>
      </w:r>
      <w:hyperlink w:anchor="Par12">
        <w:r>
          <w:rPr>
            <w:rStyle w:val="ListLabel3"/>
            <w:rFonts w:eastAsia="Calibri"/>
            <w:bCs/>
          </w:rPr>
          <w:t>пункта</w:t>
        </w:r>
      </w:hyperlink>
      <w:r>
        <w:rPr>
          <w:rFonts w:eastAsia="Calibri"/>
          <w:bCs/>
        </w:rPr>
        <w:t xml:space="preserve"> 3 </w:t>
      </w:r>
      <w:hyperlink w:anchor="Par11">
        <w:r>
          <w:rPr>
            <w:rStyle w:val="ListLabel3"/>
            <w:rFonts w:eastAsia="Calibri"/>
            <w:bCs/>
          </w:rPr>
          <w:t xml:space="preserve">пункта </w:t>
        </w:r>
      </w:hyperlink>
      <w:r>
        <w:rPr>
          <w:rFonts w:eastAsia="Calibri"/>
          <w:bCs/>
        </w:rPr>
        <w:t>7.5.1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pPr>
        <w:pStyle w:val="Normal"/>
        <w:spacing w:before="0" w:after="0"/>
        <w:ind w:firstLine="567"/>
        <w:contextualSpacing/>
        <w:jc w:val="both"/>
        <w:rPr/>
      </w:pPr>
      <w:r>
        <w:rPr>
          <w:rFonts w:eastAsia="Calibri"/>
          <w:bCs/>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3">
        <w:r>
          <w:rPr>
            <w:rStyle w:val="ListLabel3"/>
            <w:rFonts w:eastAsia="Calibri"/>
            <w:bCs/>
          </w:rPr>
          <w:t xml:space="preserve">пунктом 2) пункта </w:t>
        </w:r>
      </w:hyperlink>
      <w:r>
        <w:rPr>
          <w:rFonts w:eastAsia="Calibri"/>
          <w:bCs/>
        </w:rPr>
        <w:t xml:space="preserve">7.5.1,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7">
        <w:r>
          <w:rPr>
            <w:rStyle w:val="ListLabel3"/>
            <w:rFonts w:eastAsia="Calibri"/>
            <w:bCs/>
          </w:rPr>
          <w:t>закона</w:t>
        </w:r>
      </w:hyperlink>
      <w:r>
        <w:rPr>
          <w:rFonts w:eastAsia="Calibri"/>
          <w:bCs/>
        </w:rPr>
        <w:t xml:space="preserve"> от 29 июля 2004 года N 98-ФЗ «О коммерческой тайне»;</w:t>
      </w:r>
    </w:p>
    <w:p>
      <w:pPr>
        <w:pStyle w:val="Normal"/>
        <w:spacing w:before="0" w:after="0"/>
        <w:ind w:firstLine="567"/>
        <w:contextualSpacing/>
        <w:jc w:val="both"/>
        <w:rPr/>
      </w:pPr>
      <w:r>
        <w:rPr>
          <w:rFonts w:eastAsia="Calibri"/>
          <w:bCs/>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w:t>
      </w:r>
      <w:hyperlink w:anchor="Par12">
        <w:r>
          <w:rPr>
            <w:rStyle w:val="ListLabel3"/>
            <w:rFonts w:eastAsia="Calibri"/>
            <w:bCs/>
          </w:rPr>
          <w:t>пунктами 1</w:t>
        </w:r>
      </w:hyperlink>
      <w:r>
        <w:rPr>
          <w:rFonts w:eastAsia="Calibri"/>
          <w:bCs/>
        </w:rPr>
        <w:t xml:space="preserve">) и </w:t>
      </w:r>
      <w:hyperlink w:anchor="Par13">
        <w:r>
          <w:rPr>
            <w:rStyle w:val="ListLabel3"/>
            <w:rFonts w:eastAsia="Calibri"/>
            <w:bCs/>
          </w:rPr>
          <w:t xml:space="preserve">2)  </w:t>
        </w:r>
      </w:hyperlink>
      <w:hyperlink w:anchor="Par11">
        <w:r>
          <w:rPr>
            <w:rStyle w:val="ListLabel3"/>
            <w:rFonts w:eastAsia="Calibri"/>
            <w:bCs/>
          </w:rPr>
          <w:t xml:space="preserve">пункта </w:t>
        </w:r>
      </w:hyperlink>
      <w:r>
        <w:rPr>
          <w:rFonts w:eastAsia="Calibri"/>
          <w:bCs/>
        </w:rPr>
        <w:t>7.5.1,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pPr>
        <w:pStyle w:val="Normal"/>
        <w:spacing w:before="0" w:after="0"/>
        <w:ind w:firstLine="567"/>
        <w:contextualSpacing/>
        <w:jc w:val="both"/>
        <w:rPr>
          <w:rFonts w:eastAsia="Calibri"/>
          <w:bCs/>
        </w:rPr>
      </w:pPr>
      <w:r>
        <w:rPr>
          <w:rFonts w:eastAsia="Calibri"/>
          <w:bCs/>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
    <w:p>
      <w:pPr>
        <w:pStyle w:val="Normal"/>
        <w:spacing w:before="0" w:after="0"/>
        <w:ind w:firstLine="567"/>
        <w:contextualSpacing/>
        <w:jc w:val="both"/>
        <w:rPr>
          <w:rFonts w:eastAsia="Calibri"/>
          <w:bCs/>
          <w:color w:val="FF0000"/>
        </w:rPr>
      </w:pPr>
      <w:r>
        <w:rPr>
          <w:rFonts w:eastAsia="Calibri"/>
          <w:bCs/>
        </w:rPr>
        <w:t>9) исключен приказом ОГУП «Липецкфармация» от 29.06.2021 № 318;</w:t>
      </w:r>
    </w:p>
    <w:p>
      <w:pPr>
        <w:pStyle w:val="Normal"/>
        <w:spacing w:before="0" w:after="0"/>
        <w:ind w:firstLine="567"/>
        <w:contextualSpacing/>
        <w:jc w:val="both"/>
        <w:rPr/>
      </w:pPr>
      <w:r>
        <w:rPr>
          <w:rFonts w:eastAsia="Calibri"/>
          <w:bCs/>
        </w:rPr>
        <w:t>10) если конкурс в электронной форме включает этап, предусмотренный под</w:t>
      </w:r>
      <w:hyperlink w:anchor="Par16">
        <w:r>
          <w:rPr>
            <w:rStyle w:val="ListLabel3"/>
            <w:rFonts w:eastAsia="Calibri"/>
            <w:bCs/>
          </w:rPr>
          <w:t xml:space="preserve">пунктом 5 </w:t>
        </w:r>
      </w:hyperlink>
      <w:r>
        <w:rPr>
          <w:rFonts w:eastAsia="Calibri"/>
          <w:bCs/>
        </w:rPr>
        <w:t xml:space="preserve"> пункта 7.5.1:</w:t>
      </w:r>
    </w:p>
    <w:p>
      <w:pPr>
        <w:pStyle w:val="Normal"/>
        <w:spacing w:before="0" w:after="0"/>
        <w:ind w:firstLine="567"/>
        <w:contextualSpacing/>
        <w:jc w:val="both"/>
        <w:rPr>
          <w:rFonts w:eastAsia="Calibri"/>
          <w:bCs/>
        </w:rPr>
      </w:pPr>
      <w:r>
        <w:rPr>
          <w:rFonts w:eastAsia="Calibri"/>
          <w:bC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pPr>
        <w:pStyle w:val="Normal"/>
        <w:spacing w:before="0" w:after="0"/>
        <w:ind w:firstLine="567"/>
        <w:contextualSpacing/>
        <w:jc w:val="both"/>
        <w:rPr>
          <w:rFonts w:eastAsia="Calibri"/>
          <w:bCs/>
        </w:rPr>
      </w:pPr>
      <w:r>
        <w:rPr>
          <w:rFonts w:eastAsia="Calibri"/>
          <w:bCs/>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pPr>
        <w:pStyle w:val="Normal"/>
        <w:spacing w:before="0" w:after="0"/>
        <w:ind w:firstLine="567"/>
        <w:contextualSpacing/>
        <w:jc w:val="both"/>
        <w:rPr>
          <w:rFonts w:eastAsia="Calibri"/>
          <w:bCs/>
        </w:rPr>
      </w:pPr>
      <w:r>
        <w:rPr>
          <w:rFonts w:eastAsia="Calibri"/>
          <w:bC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pPr>
        <w:pStyle w:val="Normal"/>
        <w:spacing w:before="0" w:after="0"/>
        <w:ind w:firstLine="567"/>
        <w:contextualSpacing/>
        <w:jc w:val="both"/>
        <w:rPr>
          <w:rFonts w:eastAsia="Calibri"/>
          <w:bCs/>
        </w:rPr>
      </w:pPr>
      <w:r>
        <w:rPr>
          <w:rFonts w:eastAsia="Calibri"/>
          <w:bCs/>
        </w:rPr>
        <w:t xml:space="preserve">7.5.2. </w:t>
      </w:r>
      <w:bookmarkStart w:id="48" w:name="_Hlk75504840"/>
      <w:r>
        <w:rPr>
          <w:rFonts w:eastAsia="Calibri"/>
          <w:bCs/>
        </w:rPr>
        <w:t>Аукцион в электронной форме включает в себя порядок подачи его участниками предложений о цене договора с учетом следующих требований:</w:t>
      </w:r>
    </w:p>
    <w:p>
      <w:pPr>
        <w:pStyle w:val="Normal"/>
        <w:spacing w:before="0" w:after="0"/>
        <w:ind w:firstLine="567"/>
        <w:contextualSpacing/>
        <w:jc w:val="both"/>
        <w:rPr>
          <w:rFonts w:eastAsia="Calibri"/>
          <w:bCs/>
        </w:rPr>
      </w:pPr>
      <w:r>
        <w:rPr>
          <w:rFonts w:eastAsia="Calibri"/>
          <w:bCs/>
        </w:rPr>
        <w:t>1) "шаг аукциона" составляет от 0,5 процента до пяти процентов начальной (максимальной) цены договора;</w:t>
      </w:r>
    </w:p>
    <w:p>
      <w:pPr>
        <w:pStyle w:val="Normal"/>
        <w:spacing w:before="0" w:after="0"/>
        <w:ind w:firstLine="567"/>
        <w:contextualSpacing/>
        <w:jc w:val="both"/>
        <w:rPr>
          <w:rFonts w:eastAsia="Calibri"/>
          <w:bCs/>
        </w:rPr>
      </w:pPr>
      <w:r>
        <w:rPr>
          <w:rFonts w:eastAsia="Calibri"/>
          <w:bCs/>
        </w:rPr>
        <w:t>2) снижение текущего минимального предложения о цене договора осуществляется на величину в пределах "шага аукциона";</w:t>
      </w:r>
    </w:p>
    <w:p>
      <w:pPr>
        <w:pStyle w:val="Normal"/>
        <w:spacing w:before="0" w:after="0"/>
        <w:ind w:firstLine="567"/>
        <w:contextualSpacing/>
        <w:jc w:val="both"/>
        <w:rPr>
          <w:rFonts w:eastAsia="Calibri"/>
          <w:bCs/>
        </w:rPr>
      </w:pPr>
      <w:r>
        <w:rPr>
          <w:rFonts w:eastAsia="Calibri"/>
          <w:bCs/>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pPr>
        <w:pStyle w:val="Normal"/>
        <w:spacing w:before="0" w:after="0"/>
        <w:ind w:firstLine="567"/>
        <w:contextualSpacing/>
        <w:jc w:val="both"/>
        <w:rPr>
          <w:rFonts w:eastAsia="Calibri"/>
          <w:bCs/>
        </w:rPr>
      </w:pPr>
      <w:r>
        <w:rPr>
          <w:rFonts w:eastAsia="Calibri"/>
          <w:bCs/>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pPr>
        <w:pStyle w:val="Normal"/>
        <w:spacing w:before="0" w:after="0"/>
        <w:ind w:firstLine="567"/>
        <w:contextualSpacing/>
        <w:jc w:val="both"/>
        <w:rPr>
          <w:rFonts w:eastAsia="Calibri"/>
          <w:bCs/>
        </w:rPr>
      </w:pPr>
      <w:r>
        <w:rPr>
          <w:rFonts w:eastAsia="Calibri"/>
          <w:bCs/>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bookmarkEnd w:id="48"/>
    </w:p>
    <w:p>
      <w:pPr>
        <w:pStyle w:val="Normal"/>
        <w:ind w:firstLine="567"/>
        <w:jc w:val="both"/>
        <w:rPr/>
      </w:pPr>
      <w:bookmarkStart w:id="49" w:name="_Hlk75504918"/>
      <w:bookmarkEnd w:id="49"/>
      <w:r>
        <w:rPr>
          <w:rFonts w:eastAsia="Calibri"/>
          <w:bCs/>
        </w:rPr>
        <w:t xml:space="preserve">7.5.3. </w:t>
      </w:r>
      <w:r>
        <w:rPr>
          <w:rFonts w:eastAsia="Calibri" w:eastAsiaTheme="minorHAnsi"/>
          <w:lang w:eastAsia="en-US"/>
        </w:rPr>
        <w:t xml:space="preserve">В течение одного часа после окончания срока подачи в соответствии с </w:t>
      </w:r>
      <w:r>
        <w:rPr>
          <w:rFonts w:eastAsia="Calibri"/>
          <w:bCs/>
        </w:rPr>
        <w:t>под</w:t>
      </w:r>
      <w:hyperlink w:anchor="Par16">
        <w:r>
          <w:rPr>
            <w:rStyle w:val="ListLabel3"/>
            <w:rFonts w:eastAsia="Calibri"/>
            <w:bCs/>
          </w:rPr>
          <w:t xml:space="preserve">пунктом 5 </w:t>
        </w:r>
      </w:hyperlink>
      <w:r>
        <w:rPr>
          <w:rFonts w:eastAsia="Calibri"/>
          <w:bCs/>
        </w:rPr>
        <w:t xml:space="preserve"> пункта 7.5.1</w:t>
      </w:r>
      <w:r>
        <w:rPr>
          <w:rFonts w:eastAsia="Calibri" w:eastAsiaTheme="minorHAnsi"/>
          <w:lang w:eastAsia="en-US"/>
        </w:rPr>
        <w:t xml:space="preserve"> дополнительных ценовых предложений, а также в течение одного часа после окончания подачи в соответствии с </w:t>
      </w:r>
      <w:hyperlink r:id="rId38">
        <w:r>
          <w:rPr>
            <w:rStyle w:val="ListLabel7"/>
            <w:rFonts w:eastAsia="Calibri" w:eastAsiaTheme="minorHAnsi"/>
            <w:lang w:eastAsia="en-US"/>
          </w:rPr>
          <w:t>пунктом 7</w:t>
        </w:r>
      </w:hyperlink>
      <w:r>
        <w:rPr>
          <w:rFonts w:eastAsia="Calibri" w:eastAsiaTheme="minorHAnsi"/>
          <w:lang w:eastAsia="en-US"/>
        </w:rPr>
        <w:t>.5.2.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pPr>
        <w:pStyle w:val="Normal"/>
        <w:ind w:firstLine="567"/>
        <w:jc w:val="both"/>
        <w:rPr>
          <w:rFonts w:eastAsia="Calibri" w:eastAsiaTheme="minorHAnsi"/>
          <w:lang w:eastAsia="en-US"/>
        </w:rPr>
      </w:pPr>
      <w:bookmarkStart w:id="50" w:name="_Hlk75504918"/>
      <w:bookmarkStart w:id="51" w:name="_Hlk75504986"/>
      <w:bookmarkEnd w:id="50"/>
      <w:bookmarkEnd w:id="51"/>
      <w:r>
        <w:rPr>
          <w:rFonts w:eastAsia="Calibri"/>
          <w:bCs/>
        </w:rPr>
        <w:t xml:space="preserve">7.5.4. </w:t>
      </w:r>
      <w:r>
        <w:rPr>
          <w:rFonts w:eastAsia="Calibri" w:eastAsiaTheme="minorHAnsi"/>
          <w:lang w:eastAsia="en-US"/>
        </w:rPr>
        <w:t xml:space="preserve">Запрос предложений в электронной форме проводится в порядке, установленном </w:t>
      </w:r>
    </w:p>
    <w:p>
      <w:pPr>
        <w:pStyle w:val="Normal"/>
        <w:jc w:val="both"/>
        <w:rPr>
          <w:rFonts w:eastAsia="Calibri" w:eastAsiaTheme="minorHAnsi"/>
          <w:lang w:eastAsia="en-US"/>
        </w:rPr>
      </w:pPr>
      <w:r>
        <w:rPr>
          <w:rFonts w:eastAsia="Calibri" w:eastAsiaTheme="minorHAnsi"/>
          <w:lang w:eastAsia="en-US"/>
        </w:rPr>
        <w:t>п. 7.5.1. для проведения конкурса в электронной форме, с учетом особенностей, установленных п. 7.5.1. При этом подача окончательного предложения, дополнительного ценового предложения не осуществляется.</w:t>
      </w:r>
    </w:p>
    <w:p>
      <w:pPr>
        <w:pStyle w:val="ListParagraph"/>
        <w:spacing w:before="0" w:after="0"/>
        <w:ind w:left="0" w:firstLine="567"/>
        <w:contextualSpacing/>
        <w:jc w:val="both"/>
        <w:rPr/>
      </w:pPr>
      <w:bookmarkStart w:id="52" w:name="_Hlk75504986"/>
      <w:bookmarkStart w:id="53" w:name="Par57"/>
      <w:bookmarkEnd w:id="52"/>
      <w:bookmarkEnd w:id="53"/>
      <w:r>
        <w:rPr>
          <w:rFonts w:eastAsia="Calibri"/>
          <w:bCs/>
        </w:rPr>
        <w:t xml:space="preserve">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 7.6.1 настоящего Положения или предоставления независимой гарантии. Выбор способа обеспечения заявки на участие в такой закупке осуществляется участником такой закупки. </w:t>
      </w:r>
      <w:r>
        <w:rPr/>
        <w:t>Размер обеспечения заявки не может превышать 2 процентов начальной (максимальной) цены договора (цены лота).</w:t>
      </w:r>
    </w:p>
    <w:p>
      <w:pPr>
        <w:pStyle w:val="Normal"/>
        <w:spacing w:before="0" w:after="0"/>
        <w:ind w:firstLine="567"/>
        <w:contextualSpacing/>
        <w:jc w:val="both"/>
        <w:rPr/>
      </w:pPr>
      <w:bookmarkStart w:id="54" w:name="Par65"/>
      <w:bookmarkEnd w:id="54"/>
      <w:r>
        <w:rPr>
          <w:rFonts w:eastAsia="Calibri"/>
          <w:bCs/>
        </w:rPr>
        <w:t xml:space="preserve">7.6.1.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r>
          <w:rPr>
            <w:rStyle w:val="ListLabel3"/>
            <w:rFonts w:eastAsia="Calibri"/>
            <w:bCs/>
          </w:rPr>
          <w:t>законом</w:t>
        </w:r>
      </w:hyperlink>
      <w:r>
        <w:rPr>
          <w:rFonts w:eastAsia="Calibri"/>
          <w:bC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pPr>
        <w:pStyle w:val="Normal"/>
        <w:spacing w:before="0" w:after="0"/>
        <w:ind w:firstLine="567"/>
        <w:contextualSpacing/>
        <w:jc w:val="both"/>
        <w:rPr>
          <w:rFonts w:eastAsia="Calibri"/>
          <w:bCs/>
        </w:rPr>
      </w:pPr>
      <w:bookmarkStart w:id="55" w:name="Par67"/>
      <w:bookmarkEnd w:id="55"/>
      <w:r>
        <w:rPr>
          <w:rFonts w:eastAsia="Calibri"/>
          <w:bCs/>
        </w:rPr>
        <w:t>7.6.2.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pPr>
        <w:pStyle w:val="Normal"/>
        <w:spacing w:before="0" w:after="0"/>
        <w:ind w:firstLine="567"/>
        <w:contextualSpacing/>
        <w:jc w:val="both"/>
        <w:rPr>
          <w:rFonts w:eastAsia="Calibri"/>
          <w:bCs/>
        </w:rPr>
      </w:pPr>
      <w:r>
        <w:rPr>
          <w:rFonts w:eastAsia="Calibri"/>
          <w:bCs/>
        </w:rPr>
        <w:t>7.6.3.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7.6.2 настоящего Положения.</w:t>
      </w:r>
    </w:p>
    <w:p>
      <w:pPr>
        <w:pStyle w:val="Normal"/>
        <w:spacing w:before="0" w:after="0"/>
        <w:ind w:firstLine="567"/>
        <w:contextualSpacing/>
        <w:jc w:val="both"/>
        <w:rPr>
          <w:rFonts w:eastAsia="Calibri"/>
          <w:bCs/>
        </w:rPr>
      </w:pPr>
      <w:r>
        <w:rPr>
          <w:rFonts w:eastAsia="Calibri"/>
          <w:bCs/>
        </w:rPr>
        <w:t>7.6.4.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pPr>
        <w:pStyle w:val="Normal"/>
        <w:suppressAutoHyphens w:val="false"/>
        <w:ind w:firstLine="567"/>
        <w:jc w:val="both"/>
        <w:rPr>
          <w:rFonts w:eastAsia="Calibri" w:eastAsiaTheme="minorHAnsi"/>
          <w:lang w:eastAsia="en-US"/>
        </w:rPr>
      </w:pPr>
      <w:bookmarkStart w:id="56" w:name="_Hlk113357645"/>
      <w:r>
        <w:rPr>
          <w:rFonts w:eastAsia="Calibri"/>
          <w:bCs/>
        </w:rPr>
        <w:t xml:space="preserve">7.6.5.  </w:t>
      </w:r>
      <w:r>
        <w:rPr>
          <w:rFonts w:eastAsia="Calibri" w:eastAsiaTheme="minorHAnsi"/>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pPr>
        <w:pStyle w:val="Normal"/>
        <w:suppressAutoHyphens w:val="false"/>
        <w:ind w:firstLine="567"/>
        <w:jc w:val="both"/>
        <w:rPr/>
      </w:pPr>
      <w:r>
        <w:rPr>
          <w:rFonts w:eastAsia="Calibri" w:eastAsiaTheme="minorHAnsi"/>
          <w:lang w:eastAsia="en-US"/>
        </w:rPr>
        <w:t xml:space="preserve">7.6.5.1. независимая гарантия должна быть выдана гарантом, предусмотренным </w:t>
      </w:r>
      <w:hyperlink r:id="rId40">
        <w:r>
          <w:rPr>
            <w:rStyle w:val="ListLabel7"/>
            <w:rFonts w:eastAsia="Calibri" w:eastAsiaTheme="minorHAnsi"/>
            <w:lang w:eastAsia="en-US"/>
          </w:rPr>
          <w:t>частью 1 статьи 45</w:t>
        </w:r>
      </w:hyperlink>
      <w:r>
        <w:rPr>
          <w:rFonts w:eastAsia="Calibri" w:eastAsiaTheme="minorHAnsi"/>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Normal"/>
        <w:suppressAutoHyphens w:val="false"/>
        <w:ind w:firstLine="567"/>
        <w:jc w:val="both"/>
        <w:rPr/>
      </w:pPr>
      <w:r>
        <w:rPr>
          <w:rFonts w:eastAsia="Calibri" w:eastAsiaTheme="minorHAnsi"/>
          <w:lang w:eastAsia="en-US"/>
        </w:rPr>
        <w:t xml:space="preserve">7.6.5.2.  информация о независимой гарантии должна быть включена в реестр независимых гарантий, предусмотренный </w:t>
      </w:r>
      <w:hyperlink r:id="rId41">
        <w:r>
          <w:rPr>
            <w:rStyle w:val="ListLabel7"/>
            <w:rFonts w:eastAsia="Calibri" w:eastAsiaTheme="minorHAnsi"/>
            <w:lang w:eastAsia="en-US"/>
          </w:rPr>
          <w:t>частью 8 статьи 45</w:t>
        </w:r>
      </w:hyperlink>
      <w:r>
        <w:rPr>
          <w:rFonts w:eastAsia="Calibri" w:eastAsiaTheme="minorHAnsi"/>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pPr>
        <w:pStyle w:val="Normal"/>
        <w:suppressAutoHyphens w:val="false"/>
        <w:ind w:firstLine="567"/>
        <w:jc w:val="both"/>
        <w:rPr>
          <w:rFonts w:eastAsia="Calibri" w:eastAsiaTheme="minorHAnsi"/>
          <w:lang w:eastAsia="en-US"/>
        </w:rPr>
      </w:pPr>
      <w:r>
        <w:rPr>
          <w:rFonts w:eastAsia="Calibri" w:eastAsiaTheme="minorHAnsi"/>
          <w:lang w:eastAsia="en-US"/>
        </w:rPr>
        <w:t xml:space="preserve">7.6.5.3.  </w:t>
        <w:tab/>
        <w:t>независимая гарантия не может быть отозвана выдавшим ее гарантом;</w:t>
      </w:r>
    </w:p>
    <w:p>
      <w:pPr>
        <w:pStyle w:val="Normal"/>
        <w:suppressAutoHyphens w:val="false"/>
        <w:ind w:firstLine="567"/>
        <w:jc w:val="both"/>
        <w:rPr>
          <w:rFonts w:eastAsia="Calibri" w:eastAsiaTheme="minorHAnsi"/>
          <w:lang w:eastAsia="en-US"/>
        </w:rPr>
      </w:pPr>
      <w:r>
        <w:rPr>
          <w:rFonts w:eastAsia="Calibri" w:eastAsiaTheme="minorHAnsi"/>
          <w:lang w:eastAsia="en-US"/>
        </w:rPr>
        <w:t>7.6.5.4.  независимая гарантия должна содержать:</w:t>
      </w:r>
    </w:p>
    <w:p>
      <w:pPr>
        <w:pStyle w:val="Normal"/>
        <w:suppressAutoHyphens w:val="false"/>
        <w:ind w:firstLine="540"/>
        <w:jc w:val="both"/>
        <w:rPr/>
      </w:pPr>
      <w:r>
        <w:rPr>
          <w:rFonts w:eastAsia="Calibri" w:eastAsiaTheme="minorHAnsi"/>
          <w:lang w:eastAsia="en-US"/>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2">
        <w:r>
          <w:rPr>
            <w:rStyle w:val="ListLabel7"/>
            <w:rFonts w:eastAsia="Calibri" w:eastAsiaTheme="minorHAnsi"/>
            <w:lang w:eastAsia="en-US"/>
          </w:rPr>
          <w:t>кодексом</w:t>
        </w:r>
      </w:hyperlink>
      <w:r>
        <w:rPr>
          <w:rFonts w:eastAsia="Calibri" w:eastAsiaTheme="minorHAnsi"/>
          <w:lang w:eastAsia="en-US"/>
        </w:rPr>
        <w:t xml:space="preserve"> Российской Федерации оснований для отказа в удовлетворении этого требования;</w:t>
      </w:r>
    </w:p>
    <w:p>
      <w:pPr>
        <w:pStyle w:val="Normal"/>
        <w:suppressAutoHyphens w:val="false"/>
        <w:ind w:firstLine="540"/>
        <w:jc w:val="both"/>
        <w:rPr/>
      </w:pPr>
      <w:r>
        <w:rPr>
          <w:rFonts w:eastAsia="Calibri" w:eastAsiaTheme="minorHAnsi"/>
          <w:lang w:eastAsia="en-US"/>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3">
        <w:r>
          <w:rPr>
            <w:rStyle w:val="ListLabel7"/>
            <w:rFonts w:eastAsia="Calibri" w:eastAsiaTheme="minorHAnsi"/>
            <w:lang w:eastAsia="en-US"/>
          </w:rPr>
          <w:t>пунктом 4 части 32</w:t>
        </w:r>
      </w:hyperlink>
      <w:r>
        <w:rPr>
          <w:rFonts w:eastAsia="Calibri" w:eastAsiaTheme="minorHAnsi"/>
          <w:lang w:eastAsia="en-US"/>
        </w:rPr>
        <w:t xml:space="preserve"> статьи 3.4. </w:t>
      </w:r>
      <w:r>
        <w:rPr>
          <w:rFonts w:eastAsia="Calibri"/>
          <w:bCs/>
        </w:rPr>
        <w:t>Федерального закона № 223-ФЗ</w:t>
      </w:r>
      <w:r>
        <w:rPr>
          <w:rFonts w:eastAsia="Calibri" w:eastAsiaTheme="minorHAnsi"/>
          <w:lang w:eastAsia="en-US"/>
        </w:rPr>
        <w:t>;</w:t>
      </w:r>
    </w:p>
    <w:p>
      <w:pPr>
        <w:pStyle w:val="Normal"/>
        <w:suppressAutoHyphens w:val="false"/>
        <w:ind w:firstLine="540"/>
        <w:jc w:val="both"/>
        <w:rPr>
          <w:rFonts w:eastAsia="Calibri" w:eastAsiaTheme="minorHAnsi"/>
          <w:lang w:eastAsia="en-US"/>
        </w:rPr>
      </w:pPr>
      <w:bookmarkStart w:id="57" w:name="_Hlk113357645"/>
      <w:r>
        <w:rPr>
          <w:rFonts w:eastAsia="Calibri" w:eastAsiaTheme="minorHAnsi"/>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bookmarkEnd w:id="57"/>
    </w:p>
    <w:p>
      <w:pPr>
        <w:pStyle w:val="Normal"/>
        <w:suppressAutoHyphens w:val="false"/>
        <w:ind w:firstLine="540"/>
        <w:jc w:val="both"/>
        <w:rPr>
          <w:rFonts w:eastAsia="Calibri" w:eastAsiaTheme="minorHAnsi"/>
          <w:lang w:eastAsia="en-US"/>
        </w:rPr>
      </w:pPr>
      <w:bookmarkStart w:id="58" w:name="_Hlk113357759"/>
      <w:r>
        <w:rPr>
          <w:rFonts w:eastAsia="Calibri" w:eastAsiaTheme="minorHAnsi"/>
          <w:lang w:eastAsia="en-US"/>
        </w:rPr>
        <w:t>7.6.6.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bookmarkEnd w:id="58"/>
    </w:p>
    <w:p>
      <w:pPr>
        <w:pStyle w:val="Normal"/>
        <w:suppressAutoHyphens w:val="false"/>
        <w:ind w:firstLine="540"/>
        <w:jc w:val="both"/>
        <w:rPr>
          <w:rFonts w:eastAsia="Calibri" w:eastAsiaTheme="minorHAnsi"/>
          <w:lang w:eastAsia="en-US"/>
        </w:rPr>
      </w:pPr>
      <w:r>
        <w:rPr>
          <w:rFonts w:eastAsia="Calibri" w:eastAsiaTheme="minorHAnsi"/>
          <w:lang w:eastAsia="en-US"/>
        </w:rPr>
        <w:t>7.6.7.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Start w:id="59" w:name="_Hlk113357871"/>
      <w:bookmarkEnd w:id="59"/>
    </w:p>
    <w:p>
      <w:pPr>
        <w:pStyle w:val="Normal"/>
        <w:spacing w:before="0" w:after="0"/>
        <w:ind w:firstLine="567"/>
        <w:contextualSpacing/>
        <w:jc w:val="both"/>
        <w:rPr/>
      </w:pPr>
      <w:r>
        <w:rPr>
          <w:rFonts w:eastAsia="Calibri"/>
          <w:bCs/>
        </w:rPr>
        <w:t xml:space="preserve">7.7. Субъекты малого и среднего предпринимательства получают аккредитацию на электронной площадке в порядке, установленном Федеральным </w:t>
      </w:r>
      <w:hyperlink r:id="rId44">
        <w:r>
          <w:rPr>
            <w:rStyle w:val="ListLabel3"/>
            <w:rFonts w:eastAsia="Calibri"/>
            <w:bCs/>
          </w:rPr>
          <w:t>законом</w:t>
        </w:r>
      </w:hyperlink>
      <w:r>
        <w:rPr>
          <w:rFonts w:eastAsia="Calibri"/>
          <w:bCs/>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Normal"/>
        <w:ind w:firstLine="567"/>
        <w:jc w:val="both"/>
        <w:rPr>
          <w:rFonts w:eastAsia="Calibri" w:eastAsiaTheme="minorHAnsi"/>
          <w:lang w:eastAsia="en-US"/>
        </w:rPr>
      </w:pPr>
      <w:r>
        <w:rPr>
          <w:rFonts w:eastAsia="Calibri"/>
          <w:bCs/>
        </w:rPr>
        <w:t xml:space="preserve">7.8. </w:t>
      </w:r>
      <w:bookmarkStart w:id="60" w:name="_Hlk75505347"/>
      <w:r>
        <w:rPr>
          <w:rFonts w:eastAsia="Calibri" w:eastAsiaTheme="minorHAnsi"/>
          <w:lang w:eastAsia="en-US"/>
        </w:rPr>
        <w:t>В документации о конкурентной закупке заказчик вправе установить обязанность представления следующих информации и документов:</w:t>
      </w:r>
    </w:p>
    <w:p>
      <w:pPr>
        <w:pStyle w:val="Normal"/>
        <w:ind w:firstLine="540"/>
        <w:jc w:val="both"/>
        <w:rPr>
          <w:rFonts w:eastAsia="Calibri" w:eastAsiaTheme="minorHAnsi"/>
          <w:lang w:eastAsia="en-US"/>
        </w:rPr>
      </w:pPr>
      <w:r>
        <w:rPr>
          <w:rFonts w:eastAsia="Calibri" w:eastAsiaTheme="minorHAnsi"/>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pPr>
        <w:pStyle w:val="Normal"/>
        <w:ind w:firstLine="540"/>
        <w:jc w:val="both"/>
        <w:rPr>
          <w:rFonts w:eastAsia="Calibri" w:eastAsiaTheme="minorHAnsi"/>
          <w:lang w:eastAsia="en-US"/>
        </w:rPr>
      </w:pPr>
      <w:r>
        <w:rPr>
          <w:rFonts w:eastAsia="Calibri" w:eastAsiaTheme="minorHAnsi"/>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pPr>
        <w:pStyle w:val="Normal"/>
        <w:ind w:firstLine="540"/>
        <w:jc w:val="both"/>
        <w:rPr>
          <w:rFonts w:eastAsia="Calibri" w:eastAsiaTheme="minorHAnsi"/>
          <w:lang w:eastAsia="en-US"/>
        </w:rPr>
      </w:pPr>
      <w:r>
        <w:rPr>
          <w:rFonts w:eastAsia="Calibri" w:eastAsiaTheme="minorHAnsi"/>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pPr>
        <w:pStyle w:val="Normal"/>
        <w:ind w:firstLine="540"/>
        <w:jc w:val="both"/>
        <w:rPr>
          <w:rFonts w:eastAsia="Calibri" w:eastAsiaTheme="minorHAnsi"/>
          <w:lang w:eastAsia="en-US"/>
        </w:rPr>
      </w:pPr>
      <w:r>
        <w:rPr>
          <w:rFonts w:eastAsia="Calibri" w:eastAsiaTheme="minorHAnsi"/>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Normal"/>
        <w:ind w:firstLine="539"/>
        <w:jc w:val="both"/>
        <w:rPr>
          <w:rFonts w:eastAsia="Calibri" w:eastAsiaTheme="minorHAnsi"/>
          <w:lang w:eastAsia="en-US"/>
        </w:rPr>
      </w:pPr>
      <w:r>
        <w:rPr>
          <w:rFonts w:eastAsia="Calibri" w:eastAsiaTheme="minorHAnsi"/>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pPr>
        <w:pStyle w:val="Normal"/>
        <w:ind w:firstLine="539"/>
        <w:jc w:val="both"/>
        <w:rPr>
          <w:rFonts w:eastAsia="Calibri" w:eastAsiaTheme="minorHAnsi"/>
          <w:lang w:eastAsia="en-US"/>
        </w:rPr>
      </w:pPr>
      <w:r>
        <w:rPr>
          <w:rFonts w:eastAsia="Calibri" w:eastAsiaTheme="minorHAnsi"/>
          <w:lang w:eastAsia="en-US"/>
        </w:rPr>
        <w:t>а) индивидуальным предпринимателем, если участником такой закупки является индивидуальный предприниматель;</w:t>
      </w:r>
    </w:p>
    <w:p>
      <w:pPr>
        <w:pStyle w:val="Normal"/>
        <w:ind w:firstLine="539"/>
        <w:jc w:val="both"/>
        <w:rPr>
          <w:rFonts w:eastAsia="Calibri" w:eastAsiaTheme="minorHAnsi"/>
          <w:lang w:eastAsia="en-US"/>
        </w:rPr>
      </w:pPr>
      <w:r>
        <w:rPr>
          <w:rFonts w:eastAsia="Calibri" w:eastAsiaTheme="minorHAnsi"/>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bookmarkStart w:id="61" w:name="_Hlk107317877"/>
      <w:bookmarkEnd w:id="61"/>
    </w:p>
    <w:p>
      <w:pPr>
        <w:pStyle w:val="Normal"/>
        <w:ind w:firstLine="540"/>
        <w:jc w:val="both"/>
        <w:rPr/>
      </w:pPr>
      <w:r>
        <w:rPr>
          <w:rFonts w:eastAsia="Calibri" w:eastAsiaTheme="minorHAnsi"/>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45">
        <w:r>
          <w:rPr>
            <w:rStyle w:val="ListLabel7"/>
            <w:rFonts w:eastAsia="Calibri" w:eastAsiaTheme="minorHAnsi"/>
            <w:lang w:eastAsia="en-US"/>
          </w:rPr>
          <w:t>подпунктом "е" пункта 9</w:t>
        </w:r>
      </w:hyperlink>
      <w:r>
        <w:rPr>
          <w:rFonts w:eastAsia="Calibri" w:eastAsiaTheme="minorHAnsi"/>
          <w:lang w:eastAsia="en-US"/>
        </w:rPr>
        <w:t xml:space="preserve"> настоящей части;</w:t>
      </w:r>
    </w:p>
    <w:p>
      <w:pPr>
        <w:pStyle w:val="Normal"/>
        <w:ind w:firstLine="540"/>
        <w:jc w:val="both"/>
        <w:rPr>
          <w:rFonts w:eastAsia="Calibri" w:eastAsiaTheme="minorHAnsi"/>
          <w:lang w:eastAsia="en-US"/>
        </w:rPr>
      </w:pPr>
      <w:r>
        <w:rPr>
          <w:rFonts w:eastAsia="Calibri" w:eastAsiaTheme="minorHAnsi"/>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pPr>
        <w:pStyle w:val="Normal"/>
        <w:ind w:firstLine="540"/>
        <w:jc w:val="both"/>
        <w:rPr>
          <w:rFonts w:eastAsia="Calibri" w:eastAsiaTheme="minorHAnsi"/>
          <w:lang w:eastAsia="en-US"/>
        </w:rPr>
      </w:pPr>
      <w:r>
        <w:rPr>
          <w:rFonts w:eastAsia="Calibri" w:eastAsiaTheme="minorHAnsi"/>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pPr>
        <w:pStyle w:val="Normal"/>
        <w:ind w:firstLine="540"/>
        <w:jc w:val="both"/>
        <w:rPr>
          <w:rFonts w:eastAsia="Calibri" w:eastAsiaTheme="minorHAnsi"/>
          <w:lang w:eastAsia="en-US"/>
        </w:rPr>
      </w:pPr>
      <w:r>
        <w:rPr>
          <w:rFonts w:eastAsia="Calibri" w:eastAsiaTheme="minorHAnsi"/>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pPr>
        <w:pStyle w:val="Normal"/>
        <w:ind w:firstLine="540"/>
        <w:jc w:val="both"/>
        <w:rPr>
          <w:rFonts w:eastAsia="Calibri" w:eastAsiaTheme="minorHAnsi"/>
          <w:lang w:eastAsia="en-US"/>
        </w:rPr>
      </w:pPr>
      <w:r>
        <w:rPr>
          <w:rFonts w:eastAsia="Calibri" w:eastAsiaTheme="minorHAnsi"/>
          <w:lang w:eastAsia="en-US"/>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pPr>
        <w:pStyle w:val="Normal"/>
        <w:ind w:firstLine="540"/>
        <w:jc w:val="both"/>
        <w:rPr>
          <w:rFonts w:eastAsia="Calibri" w:eastAsiaTheme="minorHAnsi"/>
          <w:lang w:eastAsia="en-US"/>
        </w:rPr>
      </w:pPr>
      <w:r>
        <w:rPr>
          <w:rFonts w:eastAsia="Calibri" w:eastAsiaTheme="minorHAnsi"/>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pPr>
        <w:pStyle w:val="Normal"/>
        <w:ind w:firstLine="540"/>
        <w:jc w:val="both"/>
        <w:rPr>
          <w:rFonts w:eastAsia="Calibri" w:eastAsiaTheme="minorHAnsi"/>
          <w:lang w:eastAsia="en-US"/>
        </w:rPr>
      </w:pPr>
      <w:r>
        <w:rPr>
          <w:rFonts w:eastAsia="Calibri" w:eastAsiaTheme="minorHAnsi"/>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pPr>
        <w:pStyle w:val="Normal"/>
        <w:ind w:firstLine="540"/>
        <w:jc w:val="both"/>
        <w:rPr/>
      </w:pPr>
      <w:r>
        <w:rPr>
          <w:rFonts w:eastAsia="Calibri" w:eastAsiaTheme="minorHAnsi"/>
          <w:lang w:eastAsia="en-US"/>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46">
        <w:r>
          <w:rPr>
            <w:rStyle w:val="ListLabel8"/>
            <w:rFonts w:eastAsia="Calibri" w:eastAsiaTheme="minorHAnsi"/>
            <w:color w:val="0000FF"/>
            <w:lang w:eastAsia="en-US"/>
          </w:rPr>
          <w:t>Кодексом</w:t>
        </w:r>
      </w:hyperlink>
      <w:r>
        <w:rPr>
          <w:rFonts w:eastAsia="Calibri" w:eastAsiaTheme="minorHAnsi"/>
          <w:lang w:eastAsia="en-US"/>
        </w:rPr>
        <w:t xml:space="preserve"> Российской Федерации об административных правонарушениях;</w:t>
      </w:r>
    </w:p>
    <w:p>
      <w:pPr>
        <w:pStyle w:val="Normal"/>
        <w:ind w:firstLine="540"/>
        <w:jc w:val="both"/>
        <w:rPr/>
      </w:pPr>
      <w:r>
        <w:rPr>
          <w:rFonts w:eastAsia="Calibri" w:eastAsiaTheme="minorHAnsi"/>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r>
          <w:rPr>
            <w:rStyle w:val="ListLabel8"/>
            <w:rFonts w:eastAsia="Calibri" w:eastAsiaTheme="minorHAnsi"/>
            <w:color w:val="0000FF"/>
            <w:lang w:eastAsia="en-US"/>
          </w:rPr>
          <w:t>законодательством</w:t>
        </w:r>
      </w:hyperlink>
      <w:r>
        <w:rPr>
          <w:rFonts w:eastAsia="Calibri" w:eastAsiaTheme="minorHAnsi"/>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r>
          <w:rPr>
            <w:rStyle w:val="ListLabel8"/>
            <w:rFonts w:eastAsia="Calibri" w:eastAsiaTheme="minorHAnsi"/>
            <w:color w:val="0000FF"/>
            <w:lang w:eastAsia="en-US"/>
          </w:rPr>
          <w:t>законодательством</w:t>
        </w:r>
      </w:hyperlink>
      <w:r>
        <w:rPr>
          <w:rFonts w:eastAsia="Calibri" w:eastAsiaTheme="minorHAnsi"/>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pPr>
        <w:pStyle w:val="Normal"/>
        <w:ind w:firstLine="540"/>
        <w:jc w:val="both"/>
        <w:rPr/>
      </w:pPr>
      <w:r>
        <w:rPr>
          <w:rFonts w:eastAsia="Calibri" w:eastAsiaTheme="minorHAnsi"/>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9">
        <w:r>
          <w:rPr>
            <w:rStyle w:val="ListLabel8"/>
            <w:rFonts w:eastAsia="Calibri" w:eastAsiaTheme="minorHAnsi"/>
            <w:color w:val="0000FF"/>
            <w:lang w:eastAsia="en-US"/>
          </w:rPr>
          <w:t>статьями 289</w:t>
        </w:r>
      </w:hyperlink>
      <w:r>
        <w:rPr>
          <w:rFonts w:eastAsia="Calibri" w:eastAsiaTheme="minorHAnsi"/>
          <w:lang w:eastAsia="en-US"/>
        </w:rPr>
        <w:t xml:space="preserve">, </w:t>
      </w:r>
      <w:hyperlink r:id="rId50">
        <w:r>
          <w:rPr>
            <w:rStyle w:val="ListLabel8"/>
            <w:rFonts w:eastAsia="Calibri" w:eastAsiaTheme="minorHAnsi"/>
            <w:color w:val="0000FF"/>
            <w:lang w:eastAsia="en-US"/>
          </w:rPr>
          <w:t>290</w:t>
        </w:r>
      </w:hyperlink>
      <w:r>
        <w:rPr>
          <w:rFonts w:eastAsia="Calibri" w:eastAsiaTheme="minorHAnsi"/>
          <w:lang w:eastAsia="en-US"/>
        </w:rPr>
        <w:t xml:space="preserve">, </w:t>
      </w:r>
      <w:hyperlink r:id="rId51">
        <w:r>
          <w:rPr>
            <w:rStyle w:val="ListLabel8"/>
            <w:rFonts w:eastAsia="Calibri" w:eastAsiaTheme="minorHAnsi"/>
            <w:color w:val="0000FF"/>
            <w:lang w:eastAsia="en-US"/>
          </w:rPr>
          <w:t>291</w:t>
        </w:r>
      </w:hyperlink>
      <w:r>
        <w:rPr>
          <w:rFonts w:eastAsia="Calibri" w:eastAsiaTheme="minorHAnsi"/>
          <w:lang w:eastAsia="en-US"/>
        </w:rPr>
        <w:t xml:space="preserve">, </w:t>
      </w:r>
      <w:hyperlink r:id="rId52">
        <w:r>
          <w:rPr>
            <w:rStyle w:val="ListLabel8"/>
            <w:rFonts w:eastAsia="Calibri" w:eastAsiaTheme="minorHAnsi"/>
            <w:color w:val="0000FF"/>
            <w:lang w:eastAsia="en-US"/>
          </w:rPr>
          <w:t>291.1</w:t>
        </w:r>
      </w:hyperlink>
      <w:r>
        <w:rPr>
          <w:rFonts w:eastAsia="Calibri" w:eastAsiaTheme="minorHAnsi"/>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Normal"/>
        <w:ind w:firstLine="540"/>
        <w:jc w:val="both"/>
        <w:rPr/>
      </w:pPr>
      <w:r>
        <w:rPr>
          <w:rFonts w:eastAsia="Calibri" w:eastAsiaTheme="minorHAnsi"/>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3">
        <w:r>
          <w:rPr>
            <w:rStyle w:val="ListLabel8"/>
            <w:rFonts w:eastAsia="Calibri" w:eastAsiaTheme="minorHAnsi"/>
            <w:color w:val="0000FF"/>
            <w:lang w:eastAsia="en-US"/>
          </w:rPr>
          <w:t>статьей 19.28</w:t>
        </w:r>
      </w:hyperlink>
      <w:r>
        <w:rPr>
          <w:rFonts w:eastAsia="Calibri" w:eastAsiaTheme="minorHAnsi"/>
          <w:lang w:eastAsia="en-US"/>
        </w:rPr>
        <w:t xml:space="preserve"> Кодекса Российской Федерации об административных правонарушениях;</w:t>
      </w:r>
    </w:p>
    <w:p>
      <w:pPr>
        <w:pStyle w:val="Normal"/>
        <w:ind w:firstLine="540"/>
        <w:jc w:val="both"/>
        <w:rPr>
          <w:rFonts w:eastAsia="Calibri" w:eastAsiaTheme="minorHAnsi"/>
          <w:lang w:eastAsia="en-US"/>
        </w:rPr>
      </w:pPr>
      <w:r>
        <w:rPr>
          <w:rFonts w:eastAsia="Calibri" w:eastAsiaTheme="minorHAnsi"/>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pPr>
        <w:pStyle w:val="Normal"/>
        <w:ind w:firstLine="540"/>
        <w:jc w:val="both"/>
        <w:rPr>
          <w:rFonts w:eastAsia="Calibri" w:eastAsiaTheme="minorHAnsi"/>
          <w:lang w:eastAsia="en-US"/>
        </w:rPr>
      </w:pPr>
      <w:r>
        <w:rPr>
          <w:rFonts w:eastAsia="Calibri" w:eastAsiaTheme="minorHAnsi"/>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pPr>
        <w:pStyle w:val="Normal"/>
        <w:ind w:firstLine="540"/>
        <w:jc w:val="both"/>
        <w:rPr>
          <w:rFonts w:eastAsia="Calibri" w:eastAsiaTheme="minorHAnsi"/>
          <w:lang w:eastAsia="en-US"/>
        </w:rPr>
      </w:pPr>
      <w:r>
        <w:rPr>
          <w:rFonts w:eastAsia="Calibri" w:eastAsiaTheme="minorHAnsi"/>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bookmarkStart w:id="62" w:name="_Hlk107309609"/>
      <w:bookmarkEnd w:id="62"/>
    </w:p>
    <w:p>
      <w:pPr>
        <w:pStyle w:val="Normal"/>
        <w:ind w:firstLine="539"/>
        <w:jc w:val="both"/>
        <w:rPr>
          <w:rFonts w:eastAsia="Calibri" w:eastAsiaTheme="minorHAnsi"/>
          <w:lang w:eastAsia="en-US"/>
        </w:rPr>
      </w:pPr>
      <w:r>
        <w:rPr>
          <w:rFonts w:eastAsia="Calibri" w:eastAsiaTheme="minorHAnsi"/>
          <w:lang w:eastAsia="en-US"/>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pPr>
        <w:pStyle w:val="Normal"/>
        <w:ind w:firstLine="539"/>
        <w:jc w:val="both"/>
        <w:rPr>
          <w:rFonts w:eastAsia="Calibri" w:eastAsiaTheme="minorHAnsi"/>
          <w:lang w:eastAsia="en-US"/>
        </w:rPr>
      </w:pPr>
      <w:r>
        <w:rPr>
          <w:rFonts w:eastAsia="Calibri" w:eastAsiaTheme="minorHAnsi"/>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pPr>
        <w:pStyle w:val="Normal"/>
        <w:ind w:firstLine="539"/>
        <w:jc w:val="both"/>
        <w:rPr/>
      </w:pPr>
      <w:r>
        <w:rPr>
          <w:rFonts w:eastAsia="Calibri" w:eastAsiaTheme="minorHAnsi"/>
          <w:lang w:eastAsia="en-US"/>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4">
        <w:r>
          <w:rPr>
            <w:rStyle w:val="ListLabel8"/>
            <w:rFonts w:eastAsia="Calibri" w:eastAsiaTheme="minorHAnsi"/>
            <w:color w:val="0000FF"/>
            <w:lang w:eastAsia="en-US"/>
          </w:rPr>
          <w:t>пунктом 1 части 8 статьи 3</w:t>
        </w:r>
      </w:hyperlink>
      <w:r>
        <w:rPr>
          <w:rFonts w:eastAsia="Calibri" w:eastAsiaTheme="minorHAnsi"/>
          <w:lang w:eastAsia="en-US"/>
        </w:rPr>
        <w:t xml:space="preserve"> Федерального закона № 223-ФЗ;</w:t>
      </w:r>
    </w:p>
    <w:p>
      <w:pPr>
        <w:pStyle w:val="Normal"/>
        <w:ind w:firstLine="539"/>
        <w:jc w:val="both"/>
        <w:rPr>
          <w:rFonts w:eastAsia="Calibri" w:eastAsiaTheme="minorHAnsi"/>
          <w:lang w:eastAsia="en-US"/>
        </w:rPr>
      </w:pPr>
      <w:r>
        <w:rPr>
          <w:rFonts w:eastAsia="Calibri" w:eastAsiaTheme="minorHAnsi"/>
          <w:lang w:eastAsia="en-US"/>
        </w:rPr>
        <w:t>13) предложение о цене договора (цене лота, единицы товара, работы, услуги), за исключением проведения аукциона в электронной форме.</w:t>
      </w:r>
    </w:p>
    <w:p>
      <w:pPr>
        <w:pStyle w:val="Normal"/>
        <w:ind w:firstLine="539"/>
        <w:jc w:val="both"/>
        <w:rPr>
          <w:rFonts w:eastAsia="Calibri" w:eastAsiaTheme="minorHAnsi"/>
          <w:lang w:eastAsia="en-US"/>
        </w:rPr>
      </w:pPr>
      <w:bookmarkStart w:id="63" w:name="_Hlk75505540"/>
      <w:bookmarkEnd w:id="60"/>
      <w:r>
        <w:rPr>
          <w:rFonts w:eastAsia="Calibri" w:eastAsiaTheme="minorHAnsi"/>
          <w:lang w:eastAsia="en-US"/>
        </w:rPr>
        <w:t>7.8.1.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bookmarkEnd w:id="63"/>
    </w:p>
    <w:p>
      <w:pPr>
        <w:pStyle w:val="Normal"/>
        <w:ind w:firstLine="540"/>
        <w:jc w:val="both"/>
        <w:rPr/>
      </w:pPr>
      <w:r>
        <w:rPr>
          <w:rFonts w:eastAsia="Calibri" w:eastAsiaTheme="minorHAnsi"/>
          <w:lang w:eastAsia="en-US"/>
        </w:rPr>
        <w:t xml:space="preserve">7.8.2. </w:t>
      </w:r>
      <w:bookmarkStart w:id="64" w:name="_Hlk75505587"/>
      <w:r>
        <w:rPr>
          <w:rFonts w:eastAsia="Calibri" w:eastAsiaTheme="minorHAnsi"/>
          <w:lang w:eastAsia="en-US"/>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hyperlink r:id="rId55">
        <w:r>
          <w:rPr>
            <w:rStyle w:val="ListLabel7"/>
            <w:rFonts w:eastAsia="Calibri" w:eastAsiaTheme="minorHAnsi"/>
            <w:color w:val="0000FF"/>
            <w:lang w:eastAsia="en-US"/>
          </w:rPr>
          <w:t xml:space="preserve"> </w:t>
        </w:r>
        <w:r>
          <w:rPr>
            <w:rStyle w:val="ListLabel7"/>
            <w:rFonts w:eastAsia="Calibri" w:eastAsiaTheme="minorHAnsi"/>
            <w:lang w:eastAsia="en-US"/>
          </w:rPr>
          <w:t>7.</w:t>
        </w:r>
      </w:hyperlink>
      <w:r>
        <w:rPr>
          <w:rFonts w:eastAsia="Calibri" w:eastAsiaTheme="minorHAnsi"/>
          <w:lang w:eastAsia="en-US"/>
        </w:rPr>
        <w:t>8 и 7.8.1.</w:t>
      </w:r>
      <w:bookmarkEnd w:id="64"/>
    </w:p>
    <w:p>
      <w:pPr>
        <w:pStyle w:val="Normal"/>
        <w:ind w:firstLine="540"/>
        <w:jc w:val="both"/>
        <w:rPr>
          <w:rFonts w:eastAsia="Calibri" w:eastAsiaTheme="minorHAnsi"/>
          <w:lang w:eastAsia="en-US"/>
        </w:rPr>
      </w:pPr>
      <w:bookmarkStart w:id="65" w:name="_Hlk75505626"/>
      <w:r>
        <w:rPr>
          <w:rFonts w:eastAsia="Calibri" w:eastAsiaTheme="minorHAnsi"/>
          <w:lang w:eastAsia="en-US"/>
        </w:rPr>
        <w:t xml:space="preserve">7.8.3.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7.8.1. настоящего Положения, не допускается. </w:t>
      </w:r>
      <w:bookmarkEnd w:id="65"/>
    </w:p>
    <w:p>
      <w:pPr>
        <w:pStyle w:val="Normal"/>
        <w:ind w:firstLine="540"/>
        <w:jc w:val="both"/>
        <w:rPr/>
      </w:pPr>
      <w:r>
        <w:rPr>
          <w:rFonts w:eastAsia="Calibri" w:eastAsiaTheme="minorHAnsi"/>
          <w:lang w:eastAsia="en-US"/>
        </w:rPr>
        <w:t>7.8.4.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w:t>
      </w:r>
      <w:hyperlink r:id="rId56">
        <w:r>
          <w:rPr>
            <w:rStyle w:val="ListLabel7"/>
            <w:rFonts w:eastAsia="Calibri" w:eastAsiaTheme="minorHAnsi"/>
            <w:lang w:eastAsia="en-US"/>
          </w:rPr>
          <w:t>пунктом 10 пункта 7.</w:t>
        </w:r>
      </w:hyperlink>
      <w:r>
        <w:rPr>
          <w:rFonts w:eastAsia="Calibri" w:eastAsiaTheme="minorHAnsi"/>
          <w:lang w:eastAsia="en-US"/>
        </w:rPr>
        <w:t>8. и  пунктом 7.8.1.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w:t>
      </w:r>
      <w:hyperlink r:id="rId57">
        <w:r>
          <w:rPr>
            <w:rStyle w:val="ListLabel7"/>
            <w:rFonts w:eastAsia="Calibri" w:eastAsiaTheme="minorHAnsi"/>
            <w:lang w:eastAsia="en-US"/>
          </w:rPr>
          <w:t>пунктами 1</w:t>
        </w:r>
      </w:hyperlink>
      <w:r>
        <w:rPr>
          <w:rFonts w:eastAsia="Calibri" w:eastAsiaTheme="minorHAnsi"/>
          <w:lang w:eastAsia="en-US"/>
        </w:rPr>
        <w:t xml:space="preserve"> - </w:t>
      </w:r>
      <w:hyperlink r:id="rId58">
        <w:r>
          <w:rPr>
            <w:rStyle w:val="ListLabel7"/>
            <w:rFonts w:eastAsia="Calibri" w:eastAsiaTheme="minorHAnsi"/>
            <w:lang w:eastAsia="en-US"/>
          </w:rPr>
          <w:t>9</w:t>
        </w:r>
      </w:hyperlink>
      <w:r>
        <w:rPr>
          <w:rFonts w:eastAsia="Calibri" w:eastAsiaTheme="minorHAnsi"/>
          <w:lang w:eastAsia="en-US"/>
        </w:rPr>
        <w:t xml:space="preserve">, </w:t>
      </w:r>
      <w:hyperlink r:id="rId59">
        <w:r>
          <w:rPr>
            <w:rStyle w:val="ListLabel7"/>
            <w:rFonts w:eastAsia="Calibri" w:eastAsiaTheme="minorHAnsi"/>
            <w:lang w:eastAsia="en-US"/>
          </w:rPr>
          <w:t>11</w:t>
        </w:r>
      </w:hyperlink>
      <w:r>
        <w:rPr>
          <w:rFonts w:eastAsia="Calibri" w:eastAsiaTheme="minorHAnsi"/>
          <w:lang w:eastAsia="en-US"/>
        </w:rPr>
        <w:t xml:space="preserve"> и </w:t>
      </w:r>
      <w:hyperlink r:id="rId60">
        <w:r>
          <w:rPr>
            <w:rStyle w:val="ListLabel7"/>
            <w:rFonts w:eastAsia="Calibri" w:eastAsiaTheme="minorHAnsi"/>
            <w:lang w:eastAsia="en-US"/>
          </w:rPr>
          <w:t>12 пункта 7.8</w:t>
        </w:r>
      </w:hyperlink>
      <w:r>
        <w:rPr>
          <w:rFonts w:eastAsia="Calibri" w:eastAsiaTheme="minorHAnsi"/>
          <w:lang w:eastAsia="en-US"/>
        </w:rPr>
        <w:t>., а также пунктом 7.8.1.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7.8. настоящего Положения.</w:t>
      </w:r>
    </w:p>
    <w:p>
      <w:pPr>
        <w:pStyle w:val="Normal"/>
        <w:ind w:firstLine="540"/>
        <w:jc w:val="both"/>
        <w:rPr/>
      </w:pPr>
      <w:r>
        <w:rPr>
          <w:rFonts w:eastAsia="Calibri" w:eastAsiaTheme="minorHAnsi"/>
          <w:lang w:eastAsia="en-US"/>
        </w:rPr>
        <w:t>7.8.5.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w:t>
      </w:r>
      <w:hyperlink r:id="rId61">
        <w:r>
          <w:rPr>
            <w:rStyle w:val="ListLabel7"/>
            <w:rFonts w:eastAsia="Calibri" w:eastAsiaTheme="minorHAnsi"/>
            <w:lang w:eastAsia="en-US"/>
          </w:rPr>
          <w:t>пунктом 10 пункта 7.</w:t>
        </w:r>
      </w:hyperlink>
      <w:r>
        <w:rPr>
          <w:rFonts w:eastAsia="Calibri" w:eastAsiaTheme="minorHAnsi"/>
          <w:lang w:eastAsia="en-US"/>
        </w:rPr>
        <w:t>8. Вторая часть данной заявки должна содержать информацию и документы, предусмотренные под</w:t>
      </w:r>
      <w:hyperlink r:id="rId62">
        <w:r>
          <w:rPr>
            <w:rStyle w:val="ListLabel7"/>
            <w:rFonts w:eastAsia="Calibri" w:eastAsiaTheme="minorHAnsi"/>
            <w:lang w:eastAsia="en-US"/>
          </w:rPr>
          <w:t>пунктами 1</w:t>
        </w:r>
      </w:hyperlink>
      <w:r>
        <w:rPr>
          <w:rFonts w:eastAsia="Calibri" w:eastAsiaTheme="minorHAnsi"/>
          <w:lang w:eastAsia="en-US"/>
        </w:rPr>
        <w:t xml:space="preserve"> - </w:t>
      </w:r>
      <w:hyperlink r:id="rId63">
        <w:r>
          <w:rPr>
            <w:rStyle w:val="ListLabel7"/>
            <w:rFonts w:eastAsia="Calibri" w:eastAsiaTheme="minorHAnsi"/>
            <w:lang w:eastAsia="en-US"/>
          </w:rPr>
          <w:t>9</w:t>
        </w:r>
      </w:hyperlink>
      <w:r>
        <w:rPr>
          <w:rFonts w:eastAsia="Calibri" w:eastAsiaTheme="minorHAnsi"/>
          <w:lang w:eastAsia="en-US"/>
        </w:rPr>
        <w:t xml:space="preserve">, </w:t>
      </w:r>
      <w:hyperlink r:id="rId64">
        <w:r>
          <w:rPr>
            <w:rStyle w:val="ListLabel7"/>
            <w:rFonts w:eastAsia="Calibri" w:eastAsiaTheme="minorHAnsi"/>
            <w:lang w:eastAsia="en-US"/>
          </w:rPr>
          <w:t>11</w:t>
        </w:r>
      </w:hyperlink>
      <w:r>
        <w:rPr>
          <w:rFonts w:eastAsia="Calibri" w:eastAsiaTheme="minorHAnsi"/>
          <w:lang w:eastAsia="en-US"/>
        </w:rPr>
        <w:t xml:space="preserve"> и </w:t>
      </w:r>
      <w:hyperlink r:id="rId65">
        <w:r>
          <w:rPr>
            <w:rStyle w:val="ListLabel7"/>
            <w:rFonts w:eastAsia="Calibri" w:eastAsiaTheme="minorHAnsi"/>
            <w:lang w:eastAsia="en-US"/>
          </w:rPr>
          <w:t>12 пункта 7.8</w:t>
        </w:r>
      </w:hyperlink>
      <w:r>
        <w:rPr>
          <w:rFonts w:eastAsia="Calibri" w:eastAsiaTheme="minorHAnsi"/>
          <w:lang w:eastAsia="en-US"/>
        </w:rPr>
        <w:t>. настоящего Положения. При этом предусмотренные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7.8. настоящего Положения.</w:t>
      </w:r>
    </w:p>
    <w:p>
      <w:pPr>
        <w:pStyle w:val="Normal"/>
        <w:ind w:firstLine="540"/>
        <w:jc w:val="both"/>
        <w:rPr>
          <w:rFonts w:eastAsia="Calibri" w:eastAsiaTheme="minorHAnsi"/>
          <w:lang w:eastAsia="en-US"/>
        </w:rPr>
      </w:pPr>
      <w:r>
        <w:rPr>
          <w:rFonts w:eastAsia="Calibri" w:eastAsiaTheme="minorHAnsi"/>
          <w:lang w:eastAsia="en-US"/>
        </w:rPr>
        <w:t xml:space="preserve"> </w:t>
      </w:r>
      <w:r>
        <w:rPr>
          <w:rFonts w:eastAsia="Calibri" w:eastAsiaTheme="minorHAnsi"/>
          <w:lang w:eastAsia="en-US"/>
        </w:rPr>
        <w:t>7.8.6.  Заявка на участие в запросе котировок в электронной форме должна содержать информацию и документы, предусмотренные пунктом 7.8., в случае установления заказчиком обязанности их представления.</w:t>
      </w:r>
    </w:p>
    <w:p>
      <w:pPr>
        <w:pStyle w:val="Normal"/>
        <w:ind w:firstLine="540"/>
        <w:jc w:val="both"/>
        <w:rPr/>
      </w:pPr>
      <w:r>
        <w:rPr>
          <w:rFonts w:eastAsia="Calibri" w:eastAsiaTheme="minorHAnsi"/>
          <w:lang w:eastAsia="en-US"/>
        </w:rPr>
        <w:t>7.8.7.  Декларация, предусмотренная под</w:t>
      </w:r>
      <w:hyperlink r:id="rId66">
        <w:r>
          <w:rPr>
            <w:rStyle w:val="ListLabel7"/>
            <w:rFonts w:eastAsia="Calibri" w:eastAsiaTheme="minorHAnsi"/>
            <w:lang w:eastAsia="en-US"/>
          </w:rPr>
          <w:t>пунктом 9 пункта 7.</w:t>
        </w:r>
      </w:hyperlink>
      <w:r>
        <w:rPr>
          <w:rFonts w:eastAsia="Calibri" w:eastAsiaTheme="minorHAnsi"/>
          <w:lang w:eastAsia="en-US"/>
        </w:rPr>
        <w:t xml:space="preserve">8 настоящего Положения, представляется в составе заявки участником конкурентной закупки с участием субъектов малого и среднего предпринимательства </w:t>
      </w:r>
      <w:bookmarkStart w:id="66" w:name="_Hlk107313553"/>
      <w:r>
        <w:rPr>
          <w:rFonts w:eastAsia="Calibri" w:eastAsiaTheme="minorHAnsi"/>
          <w:lang w:eastAsia="en-US"/>
        </w:rPr>
        <w:t>с использованием программно-аппаратных средств электронной площадки.</w:t>
      </w:r>
      <w:bookmarkEnd w:id="66"/>
      <w:r>
        <w:rPr>
          <w:rFonts w:eastAsia="Calibri" w:eastAsiaTheme="minorHAnsi"/>
          <w:lang w:eastAsia="en-US"/>
        </w:rPr>
        <w:t xml:space="preserve">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67">
        <w:r>
          <w:rPr>
            <w:rStyle w:val="ListLabel7"/>
            <w:rFonts w:eastAsia="Calibri" w:eastAsiaTheme="minorHAnsi"/>
            <w:lang w:eastAsia="en-US"/>
          </w:rPr>
          <w:t>пункте</w:t>
        </w:r>
      </w:hyperlink>
      <w:r>
        <w:rPr>
          <w:rFonts w:eastAsia="Calibri" w:eastAsiaTheme="minorHAnsi"/>
          <w:lang w:eastAsia="en-US"/>
        </w:rPr>
        <w:t xml:space="preserve"> 7.8.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7.7. настоящего Положения.</w:t>
      </w:r>
    </w:p>
    <w:p>
      <w:pPr>
        <w:pStyle w:val="Normal"/>
        <w:spacing w:before="0" w:after="0"/>
        <w:ind w:firstLine="567"/>
        <w:contextualSpacing/>
        <w:jc w:val="both"/>
        <w:rPr>
          <w:rFonts w:eastAsia="Calibri"/>
          <w:bCs/>
        </w:rPr>
      </w:pPr>
      <w:r>
        <w:rPr>
          <w:rFonts w:eastAsia="Calibri"/>
          <w:bCs/>
        </w:rPr>
        <w:t>7.9.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bookmarkStart w:id="67" w:name="_Hlk75505722"/>
      <w:bookmarkEnd w:id="67"/>
    </w:p>
    <w:p>
      <w:pPr>
        <w:pStyle w:val="Normal"/>
        <w:spacing w:before="0" w:after="0"/>
        <w:ind w:firstLine="567"/>
        <w:contextualSpacing/>
        <w:jc w:val="both"/>
        <w:rPr>
          <w:rFonts w:eastAsia="Calibri"/>
          <w:bCs/>
        </w:rPr>
      </w:pPr>
      <w:r>
        <w:rPr>
          <w:rFonts w:eastAsia="Calibri"/>
          <w:bCs/>
        </w:rPr>
        <w:t>7.10. Оператор электронной площадки в следующем порядке направляет заказчику:</w:t>
      </w:r>
    </w:p>
    <w:p>
      <w:pPr>
        <w:pStyle w:val="Normal"/>
        <w:ind w:firstLine="567"/>
        <w:jc w:val="both"/>
        <w:rPr>
          <w:rFonts w:eastAsia="Calibri"/>
          <w:bCs/>
        </w:rPr>
      </w:pPr>
      <w:r>
        <w:rPr>
          <w:rFonts w:eastAsia="Calibri"/>
          <w:bCs/>
        </w:rPr>
        <w:t xml:space="preserve">1) </w:t>
      </w:r>
      <w:r>
        <w:rPr>
          <w:rFonts w:eastAsia="Calibri" w:eastAsiaTheme="minorHAnsi"/>
          <w:lang w:eastAsia="en-US"/>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Pr>
          <w:rFonts w:eastAsia="Calibri"/>
          <w:bCs/>
        </w:rPr>
        <w:t>;</w:t>
      </w:r>
    </w:p>
    <w:p>
      <w:pPr>
        <w:pStyle w:val="Normal"/>
        <w:ind w:firstLine="567"/>
        <w:jc w:val="both"/>
        <w:rPr>
          <w:rFonts w:eastAsia="Calibri"/>
          <w:bCs/>
        </w:rPr>
      </w:pPr>
      <w:r>
        <w:rPr>
          <w:rFonts w:eastAsia="Calibri"/>
          <w:bCs/>
        </w:rPr>
        <w:t xml:space="preserve">2) </w:t>
      </w:r>
      <w:r>
        <w:rPr>
          <w:rFonts w:eastAsia="Calibri" w:eastAsiaTheme="minorHAnsi"/>
          <w:lang w:eastAsia="en-US"/>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r>
        <w:rPr>
          <w:rFonts w:eastAsia="Calibri"/>
          <w:bCs/>
        </w:rPr>
        <w:t>:</w:t>
      </w:r>
    </w:p>
    <w:p>
      <w:pPr>
        <w:pStyle w:val="Normal"/>
        <w:ind w:firstLine="567"/>
        <w:jc w:val="both"/>
        <w:rPr>
          <w:rFonts w:eastAsia="Calibri"/>
          <w:bCs/>
        </w:rPr>
      </w:pPr>
      <w:r>
        <w:rPr>
          <w:rFonts w:eastAsia="Calibri"/>
          <w:bCs/>
        </w:rPr>
        <w:t xml:space="preserve">а) </w:t>
      </w:r>
      <w:r>
        <w:rPr>
          <w:rFonts w:eastAsia="Calibri" w:eastAsiaTheme="minorHAnsi"/>
          <w:lang w:eastAsia="en-US"/>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r>
        <w:rPr>
          <w:rFonts w:eastAsia="Calibri"/>
          <w:bCs/>
        </w:rPr>
        <w:t>;</w:t>
      </w:r>
    </w:p>
    <w:p>
      <w:pPr>
        <w:pStyle w:val="Normal"/>
        <w:ind w:firstLine="567"/>
        <w:jc w:val="both"/>
        <w:rPr>
          <w:rFonts w:eastAsia="Calibri" w:eastAsiaTheme="minorHAnsi"/>
          <w:lang w:eastAsia="en-US"/>
        </w:rPr>
      </w:pPr>
      <w:r>
        <w:rPr>
          <w:rFonts w:eastAsia="Calibri"/>
          <w:bCs/>
        </w:rPr>
        <w:t xml:space="preserve">б) </w:t>
      </w:r>
      <w:r>
        <w:rPr>
          <w:rFonts w:eastAsia="Calibri" w:eastAsiaTheme="minorHAnsi"/>
          <w:lang w:eastAsia="en-US"/>
        </w:rPr>
        <w:t>проведения процедуры подачи участниками аукциона в электронной форме предложений о цене договора с учетом требований пункта 7.5.2. настоящего Положения (при проведении аукциона в электронной форме).</w:t>
      </w:r>
    </w:p>
    <w:p>
      <w:pPr>
        <w:pStyle w:val="Normal"/>
        <w:ind w:firstLine="540"/>
        <w:jc w:val="both"/>
        <w:rPr/>
      </w:pPr>
      <w:r>
        <w:rPr>
          <w:rFonts w:eastAsia="Calibri" w:eastAsiaTheme="minorHAnsi"/>
          <w:lang w:eastAsia="en-US"/>
        </w:rPr>
        <w:t>3) протокол, предусмотренный пунктом 7.5.3. настоящего Положения (в случае, если конкурс в электронной форме включает этап, предусмотренный под</w:t>
      </w:r>
      <w:hyperlink r:id="rId68">
        <w:r>
          <w:rPr>
            <w:rStyle w:val="ListLabel7"/>
            <w:rFonts w:eastAsia="Calibri" w:eastAsiaTheme="minorHAnsi"/>
            <w:lang w:eastAsia="en-US"/>
          </w:rPr>
          <w:t>пунктом 4 пункта 7.5.</w:t>
        </w:r>
      </w:hyperlink>
      <w:r>
        <w:rPr>
          <w:rFonts w:eastAsia="Calibri" w:eastAsiaTheme="minorHAnsi"/>
          <w:lang w:eastAsia="en-US"/>
        </w:rPr>
        <w:t>2.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pPr>
        <w:pStyle w:val="Normal"/>
        <w:ind w:firstLine="540"/>
        <w:jc w:val="both"/>
        <w:rPr/>
      </w:pPr>
      <w:r>
        <w:rPr>
          <w:rFonts w:eastAsia="Calibri" w:eastAsiaTheme="minorHAnsi"/>
          <w:lang w:eastAsia="en-US"/>
        </w:rPr>
        <w:t xml:space="preserve">7.11.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69">
        <w:r>
          <w:rPr>
            <w:rStyle w:val="ListLabel8"/>
            <w:rFonts w:eastAsia="Calibri" w:eastAsiaTheme="minorHAnsi"/>
            <w:color w:val="0000FF"/>
            <w:lang w:eastAsia="en-US"/>
          </w:rPr>
          <w:t>частью 5 статьи 3.2</w:t>
        </w:r>
      </w:hyperlink>
      <w:r>
        <w:rPr>
          <w:rFonts w:eastAsia="Calibri" w:eastAsiaTheme="minorHAnsi"/>
          <w:lang w:eastAsia="en-US"/>
        </w:rPr>
        <w:t xml:space="preserve"> Федерального закона № 223-ФЗ, оператор электронной площадки не вправе направлять заказчику заявки участников такой конкурентной закупки.</w:t>
      </w:r>
    </w:p>
    <w:p>
      <w:pPr>
        <w:pStyle w:val="Normal"/>
        <w:spacing w:before="0" w:after="0"/>
        <w:ind w:firstLine="567"/>
        <w:contextualSpacing/>
        <w:jc w:val="both"/>
        <w:rPr/>
      </w:pPr>
      <w:r>
        <w:rPr>
          <w:rFonts w:eastAsia="Calibri"/>
          <w:bCs/>
        </w:rPr>
        <w:t xml:space="preserve">7.12.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70">
        <w:r>
          <w:rPr>
            <w:rStyle w:val="ListLabel3"/>
            <w:rFonts w:eastAsia="Calibri"/>
            <w:bCs/>
          </w:rPr>
          <w:t>пункте</w:t>
        </w:r>
      </w:hyperlink>
      <w:r>
        <w:rPr>
          <w:rFonts w:eastAsia="Calibri"/>
          <w:bCs/>
        </w:rPr>
        <w:t xml:space="preserve"> 8.5.1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pPr>
        <w:pStyle w:val="Normal"/>
        <w:spacing w:before="0" w:after="0"/>
        <w:ind w:firstLine="567"/>
        <w:contextualSpacing/>
        <w:jc w:val="both"/>
        <w:rPr>
          <w:rFonts w:eastAsia="Calibri"/>
          <w:bCs/>
        </w:rPr>
      </w:pPr>
      <w:bookmarkStart w:id="68" w:name="Par9"/>
      <w:bookmarkEnd w:id="68"/>
      <w:r>
        <w:rPr>
          <w:rFonts w:eastAsia="Calibri"/>
          <w:bCs/>
        </w:rPr>
        <w:t>7.13. В течение одного рабочего дня после направления оператором электронной площадки информации, указанной в пункте 7.10 настоящего Положения, и вторых частей заявок участников закупки комиссия по закупкам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pPr>
        <w:pStyle w:val="Normal"/>
        <w:spacing w:before="0" w:after="0"/>
        <w:ind w:firstLine="567"/>
        <w:contextualSpacing/>
        <w:jc w:val="both"/>
        <w:rPr/>
      </w:pPr>
      <w:r>
        <w:rPr>
          <w:rFonts w:eastAsia="Calibri"/>
          <w:bCs/>
        </w:rPr>
        <w:t xml:space="preserve">7.14. Заказчик составляет итоговый протокол в соответствии с требованиями </w:t>
      </w:r>
      <w:hyperlink r:id="rId71">
        <w:r>
          <w:rPr>
            <w:rStyle w:val="ListLabel3"/>
            <w:rFonts w:eastAsia="Calibri"/>
            <w:bCs/>
          </w:rPr>
          <w:t>пункта</w:t>
        </w:r>
      </w:hyperlink>
      <w:r>
        <w:rPr>
          <w:rFonts w:eastAsia="Calibri"/>
          <w:bCs/>
        </w:rPr>
        <w:t xml:space="preserve"> 8.5.2 настоящего Федерального закона и размещает его на электронной площадке и в единой информационной системе.</w:t>
      </w:r>
    </w:p>
    <w:p>
      <w:pPr>
        <w:pStyle w:val="Normal"/>
        <w:ind w:firstLine="567"/>
        <w:jc w:val="both"/>
        <w:rPr>
          <w:rFonts w:eastAsia="Calibri"/>
          <w:bCs/>
        </w:rPr>
      </w:pPr>
      <w:r>
        <w:rPr>
          <w:rFonts w:eastAsia="Calibri"/>
          <w:bCs/>
        </w:rPr>
        <w:t xml:space="preserve">7.15. </w:t>
      </w:r>
      <w:r>
        <w:rPr>
          <w:rFonts w:eastAsia="Calibri" w:eastAsiaTheme="minorHAnsi"/>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Pr>
          <w:rFonts w:eastAsia="Calibri"/>
          <w:bCs/>
        </w:rPr>
        <w:t>.</w:t>
      </w:r>
    </w:p>
    <w:p>
      <w:pPr>
        <w:pStyle w:val="Normal"/>
        <w:ind w:firstLine="567"/>
        <w:jc w:val="both"/>
        <w:rPr>
          <w:rFonts w:eastAsia="Calibri" w:eastAsiaTheme="minorHAnsi"/>
          <w:lang w:eastAsia="en-US"/>
        </w:rPr>
      </w:pPr>
      <w:r>
        <w:rPr>
          <w:rFonts w:eastAsia="Calibri"/>
          <w:bCs/>
        </w:rPr>
        <w:t xml:space="preserve">7.16. </w:t>
      </w:r>
      <w:r>
        <w:rPr>
          <w:rFonts w:eastAsia="Calibri" w:eastAsiaTheme="minorHAnsi"/>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pPr>
        <w:pStyle w:val="ListParagraph"/>
        <w:spacing w:before="0" w:after="0"/>
        <w:ind w:left="0" w:firstLine="567"/>
        <w:contextualSpacing/>
        <w:jc w:val="both"/>
        <w:rPr/>
      </w:pPr>
      <w:r>
        <w:rPr/>
        <w:t>7.17. 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закупке.</w:t>
      </w:r>
    </w:p>
    <w:p>
      <w:pPr>
        <w:pStyle w:val="ListParagraph"/>
        <w:spacing w:before="0" w:after="0"/>
        <w:ind w:left="0" w:firstLine="567"/>
        <w:contextualSpacing/>
        <w:jc w:val="both"/>
        <w:rPr/>
      </w:pPr>
      <w:r>
        <w:rPr/>
        <w:t>Размер обеспечения исполнения договора:</w:t>
      </w:r>
    </w:p>
    <w:p>
      <w:pPr>
        <w:pStyle w:val="ListParagraph"/>
        <w:spacing w:before="0" w:after="0"/>
        <w:ind w:left="0" w:firstLine="567"/>
        <w:contextualSpacing/>
        <w:jc w:val="both"/>
        <w:rPr/>
      </w:pPr>
      <w:r>
        <w:rPr/>
        <w:t>не может превышать 5 процентов начальной (максимальной) цены договора (цены лота), если договором не предусмотрена выплата аванса;</w:t>
      </w:r>
    </w:p>
    <w:p>
      <w:pPr>
        <w:pStyle w:val="ListParagraph"/>
        <w:spacing w:before="0" w:after="0"/>
        <w:ind w:left="0" w:firstLine="567"/>
        <w:contextualSpacing/>
        <w:jc w:val="both"/>
        <w:rPr/>
      </w:pPr>
      <w:r>
        <w:rPr/>
        <w:t>устанавливается в размере аванса, если договором предусмотрена выплата аванса.</w:t>
      </w:r>
    </w:p>
    <w:p>
      <w:pPr>
        <w:pStyle w:val="ListParagraph"/>
        <w:spacing w:before="0" w:after="0"/>
        <w:ind w:left="0" w:firstLine="567"/>
        <w:contextualSpacing/>
        <w:jc w:val="both"/>
        <w:rPr/>
      </w:pPr>
      <w:r>
        <w:rPr/>
        <w:t>Обеспечение исполнения договора может предоставляться участником закупки, являющимся субъектом МСП, путем внесения денежных средств или независимой гарантией. Выбор способа обеспечения исполнения договора осуществляется участником закупки, являющимся субъектом МСП, в соответствии с требованиями документации о закупке.</w:t>
      </w:r>
    </w:p>
    <w:p>
      <w:pPr>
        <w:pStyle w:val="Normal"/>
        <w:suppressAutoHyphens w:val="false"/>
        <w:ind w:firstLine="540"/>
        <w:jc w:val="both"/>
        <w:rPr>
          <w:rFonts w:eastAsia="Calibri" w:eastAsiaTheme="minorHAnsi"/>
          <w:lang w:eastAsia="en-US"/>
        </w:rPr>
      </w:pPr>
      <w:r>
        <w:rPr/>
        <w:t xml:space="preserve">7.17.1. </w:t>
      </w:r>
      <w:r>
        <w:rPr>
          <w:rFonts w:eastAsia="Calibri" w:eastAsiaTheme="minorHAnsi"/>
          <w:lang w:eastAsia="en-US"/>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7.6.5. Положения. При этом такая независимая гарантия:</w:t>
      </w:r>
    </w:p>
    <w:p>
      <w:pPr>
        <w:pStyle w:val="Normal"/>
        <w:suppressAutoHyphens w:val="false"/>
        <w:ind w:firstLine="540"/>
        <w:jc w:val="both"/>
        <w:rPr>
          <w:rFonts w:eastAsia="Calibri" w:eastAsiaTheme="minorHAnsi"/>
          <w:lang w:eastAsia="en-US"/>
        </w:rPr>
      </w:pPr>
      <w:r>
        <w:rPr>
          <w:rFonts w:eastAsia="Calibri" w:eastAsiaTheme="minorHAnsi"/>
          <w:lang w:eastAsia="en-US"/>
        </w:rPr>
        <w:t>а)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pPr>
        <w:pStyle w:val="Normal"/>
        <w:suppressAutoHyphens w:val="false"/>
        <w:ind w:firstLine="540"/>
        <w:jc w:val="both"/>
        <w:rPr>
          <w:rFonts w:eastAsia="Calibri" w:eastAsiaTheme="minorHAnsi"/>
          <w:lang w:eastAsia="en-US"/>
        </w:rPr>
      </w:pPr>
      <w:r>
        <w:rPr>
          <w:rFonts w:eastAsia="Calibri" w:eastAsiaTheme="minorHAnsi"/>
          <w:lang w:eastAsia="en-US"/>
        </w:rPr>
        <w:t>б)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Start w:id="69" w:name="_Hlk113365859"/>
      <w:bookmarkEnd w:id="69"/>
    </w:p>
    <w:p>
      <w:pPr>
        <w:pStyle w:val="Normal"/>
        <w:ind w:firstLine="567"/>
        <w:jc w:val="both"/>
        <w:rPr>
          <w:rFonts w:eastAsia="Calibri"/>
        </w:rPr>
      </w:pPr>
      <w:r>
        <w:rPr/>
        <w:t xml:space="preserve">7.18. Договор с субъектом МСП заключается в срок </w:t>
      </w:r>
      <w:r>
        <w:rPr>
          <w:rFonts w:eastAsia="Calibri"/>
        </w:rPr>
        <w:t xml:space="preserve">не ранее чем через десять дней и не позднее чем через двадцать дней с даты размещения в единой информационной системе итогового протокола, </w:t>
      </w:r>
      <w:r>
        <w:rPr/>
        <w:t xml:space="preserve">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w:t>
      </w:r>
      <w:r>
        <w:rPr>
          <w:rFonts w:eastAsia="Calibri"/>
        </w:rPr>
        <w:t xml:space="preserve">комиссии по осуществлению конкурентной закупки, оператора электронной площадки </w:t>
      </w:r>
      <w:r>
        <w:rPr/>
        <w:t xml:space="preserve"> при осуществлении закупки обжалуются в антимонопольном органе. В указанных случаях договор должен быть заключен не позднее чем через 5 дней </w:t>
      </w:r>
      <w:r>
        <w:rPr>
          <w:rFonts w:eastAsia="Calibri"/>
        </w:rPr>
        <w:t>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pPr>
        <w:pStyle w:val="ListParagraph"/>
        <w:spacing w:before="0" w:after="0"/>
        <w:ind w:left="0" w:firstLine="567"/>
        <w:contextualSpacing/>
        <w:jc w:val="both"/>
        <w:rPr/>
      </w:pPr>
      <w:r>
        <w:rPr/>
        <w:t xml:space="preserve">7.18.1. При осуществлении закупки среди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исполнения обязательств по договору (отдельному этапу договора). </w:t>
      </w:r>
    </w:p>
    <w:p>
      <w:pPr>
        <w:pStyle w:val="Normal"/>
        <w:spacing w:before="0" w:after="0"/>
        <w:ind w:firstLine="567"/>
        <w:contextualSpacing/>
        <w:jc w:val="both"/>
        <w:rPr/>
      </w:pPr>
      <w:r>
        <w:rPr>
          <w:rFonts w:eastAsia="Calibri"/>
          <w:bCs/>
        </w:rPr>
        <w:t>7.19.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pPr>
        <w:pStyle w:val="ListParagraph"/>
        <w:spacing w:before="0" w:after="0"/>
        <w:ind w:left="0" w:firstLine="567"/>
        <w:contextualSpacing/>
        <w:jc w:val="both"/>
        <w:rPr/>
      </w:pPr>
      <w:r>
        <w:rPr/>
        <w:t xml:space="preserve">7.20. При осуществлении закупок способами, предусмотренными </w:t>
        <w:br/>
      </w:r>
      <w:hyperlink r:id="rId72">
        <w:r>
          <w:rPr>
            <w:rStyle w:val="ListLabel2"/>
            <w:rFonts w:eastAsia="Calibri"/>
          </w:rPr>
          <w:t xml:space="preserve">подпунктом "в" пункта </w:t>
        </w:r>
      </w:hyperlink>
      <w:r>
        <w:rPr>
          <w:rFonts w:eastAsia="Calibri"/>
        </w:rPr>
        <w:t xml:space="preserve">7.1 </w:t>
      </w:r>
      <w:r>
        <w:rPr/>
        <w:t xml:space="preserve">настоящего Положения, может быть предусмотрено условие о возможности привлечения поставщиком (подрядчиком, исполнителем), не являющимся субъектом МСП, к исполнению договора третьих лиц из числа субъектов МСП. Участники такой закупки представляют в составе заявки на участие в закупке план привлечения субподрядчиков (соисполнителей) из числа субъектов МСП, а также декларацию, подготовленную по форме согласно </w:t>
      </w:r>
      <w:hyperlink r:id="rId73">
        <w:r>
          <w:rPr>
            <w:rStyle w:val="ListLabel5"/>
          </w:rPr>
          <w:t>приложению</w:t>
        </w:r>
      </w:hyperlink>
      <w:r>
        <w:rPr/>
        <w:t xml:space="preserve"> № 1 к настоящему Положению, или сведения из единого реестра субъектов малого и среднего предпринимательств в отношении каждого субподрядчика (соисполнителя), являющегося субъектом малого и среднего предпринимательства.</w:t>
      </w:r>
    </w:p>
    <w:p>
      <w:pPr>
        <w:pStyle w:val="ListParagraph"/>
        <w:spacing w:before="0" w:after="0"/>
        <w:ind w:left="0" w:firstLine="567"/>
        <w:contextualSpacing/>
        <w:jc w:val="both"/>
        <w:rPr/>
      </w:pPr>
      <w:r>
        <w:rPr/>
        <w:t>7.20.1. 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также за невыполнение такого требования поставщик (подрядчик, исполнитель) несет ответственность в соответствии с условиями договора.</w:t>
      </w:r>
    </w:p>
    <w:p>
      <w:pPr>
        <w:pStyle w:val="Normal"/>
        <w:spacing w:before="0" w:after="0"/>
        <w:ind w:firstLine="567"/>
        <w:contextualSpacing/>
        <w:jc w:val="both"/>
        <w:rPr/>
      </w:pPr>
      <w:r>
        <w:rPr/>
        <w:t>7.20.2. По согласованию с заказчиком поставщик (исполнитель, подрядчик) вправе осуществить замену субподрядчика (соисполнителя), являющегося субъектом МСП, с которым заключается или ранее был заключен договор субподряда, на другого субподрядчика (соисполнителя), являющегося субъектом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pPr>
        <w:pStyle w:val="ListParagraph"/>
        <w:spacing w:before="0" w:after="0"/>
        <w:ind w:left="0" w:firstLine="567"/>
        <w:contextualSpacing/>
        <w:jc w:val="both"/>
        <w:rPr/>
      </w:pPr>
      <w:r>
        <w:rPr/>
        <w:t>7.21. Заказчик вправе по истечении срока приема заявок осуществить закупку на общих основаниях в соответствии с Положением без учета правил, установленных п. 7. в случаях, если:</w:t>
      </w:r>
    </w:p>
    <w:p>
      <w:pPr>
        <w:pStyle w:val="ListParagraph"/>
        <w:spacing w:before="0" w:after="0"/>
        <w:ind w:left="0" w:firstLine="567"/>
        <w:contextualSpacing/>
        <w:jc w:val="both"/>
        <w:rPr/>
      </w:pPr>
      <w:r>
        <w:rPr/>
        <w:t>субъекты МСП не подали заявку на участие в закупке;</w:t>
      </w:r>
    </w:p>
    <w:p>
      <w:pPr>
        <w:pStyle w:val="31"/>
        <w:tabs>
          <w:tab w:val="left" w:pos="1080" w:leader="none"/>
          <w:tab w:val="left" w:pos="1701" w:leader="none"/>
          <w:tab w:val="left" w:pos="4680" w:leader="none"/>
        </w:tabs>
        <w:spacing w:lineRule="auto" w:line="240" w:before="0" w:after="0"/>
        <w:contextualSpacing/>
        <w:rPr>
          <w:sz w:val="24"/>
          <w:szCs w:val="24"/>
        </w:rPr>
      </w:pPr>
      <w:r>
        <w:rPr>
          <w:sz w:val="24"/>
          <w:szCs w:val="24"/>
        </w:rPr>
        <w:t>заявки всех участников, являющихся субъектами МСП, отозваны или не соответствуют требованиям, предусмотренным документацией о закупке;</w:t>
      </w:r>
    </w:p>
    <w:p>
      <w:pPr>
        <w:pStyle w:val="31"/>
        <w:tabs>
          <w:tab w:val="left" w:pos="1080" w:leader="none"/>
          <w:tab w:val="left" w:pos="1701" w:leader="none"/>
          <w:tab w:val="left" w:pos="4680" w:leader="none"/>
        </w:tabs>
        <w:spacing w:lineRule="auto" w:line="240" w:before="0" w:after="0"/>
        <w:contextualSpacing/>
        <w:rPr>
          <w:sz w:val="24"/>
          <w:szCs w:val="24"/>
        </w:rPr>
      </w:pPr>
      <w:r>
        <w:rPr>
          <w:sz w:val="24"/>
          <w:szCs w:val="24"/>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pPr>
        <w:pStyle w:val="31"/>
        <w:tabs>
          <w:tab w:val="left" w:pos="1080" w:leader="none"/>
          <w:tab w:val="left" w:pos="1701" w:leader="none"/>
          <w:tab w:val="left" w:pos="4680" w:leader="none"/>
        </w:tabs>
        <w:spacing w:lineRule="auto" w:line="240" w:before="0" w:after="0"/>
        <w:contextualSpacing/>
        <w:rPr>
          <w:sz w:val="24"/>
          <w:szCs w:val="24"/>
        </w:rPr>
      </w:pPr>
      <w:r>
        <w:rPr>
          <w:sz w:val="24"/>
          <w:szCs w:val="24"/>
        </w:rPr>
        <w:t>заказчиком в порядке, установленном настоящим Положением, принято решение о том, что договор по результатам закупки не заключается.</w:t>
      </w:r>
    </w:p>
    <w:p>
      <w:pPr>
        <w:pStyle w:val="31"/>
        <w:tabs>
          <w:tab w:val="left" w:pos="1080" w:leader="none"/>
          <w:tab w:val="left" w:pos="1701" w:leader="none"/>
          <w:tab w:val="left" w:pos="4680" w:leader="none"/>
        </w:tabs>
        <w:spacing w:lineRule="auto" w:line="240" w:before="0" w:after="0"/>
        <w:contextualSpacing/>
        <w:rPr>
          <w:sz w:val="24"/>
          <w:szCs w:val="24"/>
        </w:rPr>
      </w:pPr>
      <w:r>
        <w:rPr>
          <w:sz w:val="24"/>
          <w:szCs w:val="24"/>
        </w:rPr>
        <w:t>Если договор по результатам закупки среди субъектов МСП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только субъектов МСП, а также осуществить закупку на общих основаниях.</w:t>
      </w:r>
    </w:p>
    <w:p>
      <w:pPr>
        <w:pStyle w:val="Normal"/>
        <w:spacing w:before="0" w:after="0"/>
        <w:ind w:firstLine="567"/>
        <w:contextualSpacing/>
        <w:jc w:val="both"/>
        <w:rPr>
          <w:rFonts w:eastAsia="Calibri"/>
        </w:rPr>
      </w:pPr>
      <w:r>
        <w:rPr/>
        <w:t xml:space="preserve">7.22. Положения </w:t>
      </w:r>
      <w:bookmarkStart w:id="70" w:name="_Hlk101771994"/>
      <w:r>
        <w:rPr/>
        <w:t>раздела 7</w:t>
      </w:r>
      <w:bookmarkEnd w:id="70"/>
      <w:r>
        <w:rPr/>
        <w:t xml:space="preserve"> применяются в случае, если </w:t>
      </w:r>
      <w:r>
        <w:rPr>
          <w:rFonts w:eastAsia="Calibri"/>
        </w:rPr>
        <w:t>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w:t>
      </w:r>
    </w:p>
    <w:p>
      <w:pPr>
        <w:pStyle w:val="Normal"/>
        <w:spacing w:before="0" w:after="0"/>
        <w:ind w:firstLine="567"/>
        <w:contextualSpacing/>
        <w:jc w:val="both"/>
        <w:rPr/>
      </w:pPr>
      <w:bookmarkStart w:id="71" w:name="_Hlk101770679"/>
      <w:r>
        <w:rPr/>
        <w:t>7.23. Заказчик вправе осуществлять поддержку субъектов малого предпринимательства путем проведения закупки у единственного поставщика (подрядчика, исполнителя.)</w:t>
      </w:r>
      <w:bookmarkEnd w:id="71"/>
    </w:p>
    <w:p>
      <w:pPr>
        <w:pStyle w:val="Normal"/>
        <w:suppressAutoHyphens w:val="false"/>
        <w:ind w:firstLine="567"/>
        <w:jc w:val="both"/>
        <w:rPr>
          <w:rFonts w:eastAsia="Calibri" w:eastAsiaTheme="minorHAnsi"/>
          <w:lang w:eastAsia="en-US"/>
        </w:rPr>
      </w:pPr>
      <w:r>
        <w:rPr/>
        <w:t xml:space="preserve">7.24.  Положения раздела 7 распространяются на физических лиц, </w:t>
      </w:r>
      <w:r>
        <w:rPr>
          <w:rFonts w:eastAsia="Calibri" w:eastAsiaTheme="minorHAnsi"/>
          <w:lang w:eastAsia="en-US"/>
        </w:rPr>
        <w:t xml:space="preserve">применяющих специальный налоговый режим, </w:t>
      </w:r>
      <w:r>
        <w:rPr/>
        <w:t xml:space="preserve">в соответсвии с </w:t>
      </w:r>
      <w:r>
        <w:rPr>
          <w:rFonts w:eastAsia="Calibri" w:eastAsiaTheme="minorHAnsi"/>
          <w:lang w:eastAsia="en-US"/>
        </w:rPr>
        <w:t>Федеральным законом от 27.11.2018 N 422-ФЗ «О проведении эксперимента по установлению специального налогового режима «Налог на профессиональный доход», на период действия эксперимента.</w:t>
      </w:r>
      <w:bookmarkStart w:id="72" w:name="_Hlk101771905"/>
      <w:bookmarkEnd w:id="72"/>
    </w:p>
    <w:p>
      <w:pPr>
        <w:pStyle w:val="Normal"/>
        <w:spacing w:before="0" w:after="0"/>
        <w:ind w:firstLine="567"/>
        <w:contextualSpacing/>
        <w:jc w:val="both"/>
        <w:rPr/>
      </w:pPr>
      <w:r>
        <w:rPr/>
      </w:r>
      <w:bookmarkStart w:id="73" w:name="_Hlk101770655"/>
      <w:bookmarkStart w:id="74" w:name="_Hlk101770655"/>
      <w:bookmarkEnd w:id="74"/>
    </w:p>
    <w:p>
      <w:pPr>
        <w:pStyle w:val="S3"/>
        <w:tabs>
          <w:tab w:val="left" w:pos="1080" w:leader="none"/>
          <w:tab w:val="left" w:pos="4680" w:leader="none"/>
        </w:tabs>
        <w:ind w:firstLine="567"/>
        <w:rPr>
          <w:rFonts w:ascii="Times New Roman" w:hAnsi="Times New Roman" w:cs="Times New Roman"/>
          <w:caps/>
          <w:color w:val="auto"/>
          <w:sz w:val="24"/>
          <w:szCs w:val="24"/>
          <w:highlight w:val="yellow"/>
        </w:rPr>
      </w:pPr>
      <w:r>
        <w:rPr>
          <w:rFonts w:cs="Times New Roman" w:ascii="Times New Roman" w:hAnsi="Times New Roman"/>
          <w:caps/>
          <w:color w:val="auto"/>
          <w:sz w:val="24"/>
          <w:szCs w:val="24"/>
          <w:highlight w:val="yellow"/>
        </w:rPr>
      </w:r>
    </w:p>
    <w:p>
      <w:pPr>
        <w:pStyle w:val="S3"/>
        <w:tabs>
          <w:tab w:val="left" w:pos="1080" w:leader="none"/>
          <w:tab w:val="left" w:pos="4680" w:leader="none"/>
        </w:tabs>
        <w:ind w:firstLine="567"/>
        <w:rPr>
          <w:rFonts w:ascii="Times New Roman" w:hAnsi="Times New Roman" w:cs="Times New Roman"/>
          <w:bCs w:val="false"/>
        </w:rPr>
      </w:pPr>
      <w:r>
        <w:rPr>
          <w:rFonts w:cs="Times New Roman" w:ascii="Times New Roman" w:hAnsi="Times New Roman"/>
          <w:caps/>
          <w:color w:val="auto"/>
          <w:sz w:val="24"/>
          <w:szCs w:val="24"/>
        </w:rPr>
        <w:t>8.</w:t>
      </w:r>
      <w:r>
        <w:rPr>
          <w:rFonts w:cs="Times New Roman" w:ascii="Times New Roman" w:hAnsi="Times New Roman"/>
          <w:bCs w:val="false"/>
        </w:rPr>
        <w:t xml:space="preserve"> ОБЩИЙ ПОРЯДОК ПРОВЕДЕНИЯ КОНКУРЕНТНОЙ ЗАКУПКИ</w:t>
      </w:r>
      <w:bookmarkStart w:id="75" w:name="_Hlk533591157"/>
      <w:bookmarkEnd w:id="75"/>
    </w:p>
    <w:p>
      <w:pPr>
        <w:pStyle w:val="S3"/>
        <w:tabs>
          <w:tab w:val="left" w:pos="1080" w:leader="none"/>
          <w:tab w:val="left" w:pos="4680" w:leader="none"/>
        </w:tabs>
        <w:ind w:firstLine="567"/>
        <w:rPr>
          <w:b w:val="false"/>
          <w:b w:val="false"/>
          <w:bCs w:val="false"/>
        </w:rPr>
      </w:pPr>
      <w:r>
        <w:rPr>
          <w:b w:val="false"/>
          <w:bCs w:val="false"/>
        </w:rPr>
      </w:r>
    </w:p>
    <w:p>
      <w:pPr>
        <w:pStyle w:val="Normal"/>
        <w:spacing w:before="0" w:after="0"/>
        <w:ind w:firstLine="567"/>
        <w:contextualSpacing/>
        <w:jc w:val="both"/>
        <w:rPr/>
      </w:pPr>
      <w:r>
        <w:rPr>
          <w:rFonts w:eastAsia="Calibri"/>
          <w:bCs/>
        </w:rPr>
        <w:t xml:space="preserve">1. Конкурентная закупка осуществляется в порядке, предусмотренном статьей 3.2 и на основании требований, предусмотренных </w:t>
      </w:r>
      <w:hyperlink r:id="rId74">
        <w:r>
          <w:rPr>
            <w:rStyle w:val="ListLabel3"/>
            <w:rFonts w:eastAsia="Calibri"/>
            <w:bCs/>
          </w:rPr>
          <w:t>статьями 3.3</w:t>
        </w:r>
      </w:hyperlink>
      <w:r>
        <w:rPr>
          <w:rFonts w:eastAsia="Calibri"/>
          <w:bCs/>
        </w:rPr>
        <w:t xml:space="preserve"> и </w:t>
      </w:r>
      <w:hyperlink r:id="rId75">
        <w:r>
          <w:rPr>
            <w:rStyle w:val="ListLabel3"/>
            <w:rFonts w:eastAsia="Calibri"/>
            <w:bCs/>
          </w:rPr>
          <w:t>3.4</w:t>
        </w:r>
      </w:hyperlink>
      <w:r>
        <w:rPr>
          <w:rFonts w:eastAsia="Calibri"/>
          <w:bCs/>
        </w:rPr>
        <w:t xml:space="preserve"> Федерального закона № 223-ФЗ.</w:t>
      </w:r>
    </w:p>
    <w:p>
      <w:pPr>
        <w:pStyle w:val="Normal"/>
        <w:spacing w:before="0" w:after="0"/>
        <w:ind w:firstLine="567"/>
        <w:contextualSpacing/>
        <w:jc w:val="both"/>
        <w:rPr>
          <w:rFonts w:eastAsia="Calibri"/>
        </w:rPr>
      </w:pPr>
      <w:bookmarkStart w:id="76" w:name="Par0"/>
      <w:bookmarkEnd w:id="76"/>
      <w:r>
        <w:rPr>
          <w:rFonts w:eastAsia="Calibri"/>
        </w:rP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pPr>
        <w:pStyle w:val="Normal"/>
        <w:spacing w:before="0" w:after="0"/>
        <w:ind w:firstLine="567"/>
        <w:contextualSpacing/>
        <w:jc w:val="both"/>
        <w:rPr/>
      </w:pPr>
      <w:r>
        <w:rPr>
          <w:rFonts w:eastAsia="Calibri"/>
        </w:rPr>
        <w:t xml:space="preserve">3. В течение трех рабочих дней с даты поступления запроса, указанного в   </w:t>
      </w:r>
      <w:hyperlink w:anchor="Par0">
        <w:r>
          <w:rPr>
            <w:rStyle w:val="ListLabel2"/>
            <w:rFonts w:eastAsia="Calibri"/>
          </w:rPr>
          <w:t>части 2</w:t>
        </w:r>
      </w:hyperlink>
      <w:r>
        <w:rPr>
          <w:rFonts w:eastAsia="Calibri"/>
        </w:rPr>
        <w:t xml:space="preserve">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pPr>
        <w:pStyle w:val="Normal"/>
        <w:spacing w:before="0" w:after="0"/>
        <w:ind w:firstLine="567"/>
        <w:contextualSpacing/>
        <w:jc w:val="both"/>
        <w:rPr>
          <w:rFonts w:eastAsia="Calibri"/>
        </w:rPr>
      </w:pPr>
      <w:r>
        <w:rPr>
          <w:rFonts w:eastAsia="Calibri"/>
        </w:rPr>
        <w:t>4. Разъяснения положений документации о конкурентной закупке не должны изменять предмет закупки и существенные условия проекта договора.</w:t>
      </w:r>
    </w:p>
    <w:p>
      <w:pPr>
        <w:pStyle w:val="Normal"/>
        <w:spacing w:before="0" w:after="0"/>
        <w:ind w:firstLine="567"/>
        <w:contextualSpacing/>
        <w:jc w:val="both"/>
        <w:rPr>
          <w:rFonts w:eastAsia="Calibri"/>
        </w:rPr>
      </w:pPr>
      <w:bookmarkStart w:id="77" w:name="Par3"/>
      <w:bookmarkEnd w:id="77"/>
      <w:r>
        <w:rPr>
          <w:rFonts w:eastAsia="Calibri"/>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pPr>
        <w:pStyle w:val="Normal"/>
        <w:spacing w:before="0" w:after="0"/>
        <w:ind w:firstLine="567"/>
        <w:contextualSpacing/>
        <w:jc w:val="both"/>
        <w:rPr>
          <w:rFonts w:eastAsia="Calibri"/>
        </w:rPr>
      </w:pPr>
      <w:r>
        <w:rPr>
          <w:rFonts w:eastAsia="Calibri"/>
        </w:rPr>
        <w:t xml:space="preserve">  </w:t>
      </w:r>
      <w:r>
        <w:rPr>
          <w:rFonts w:eastAsia="Calibri"/>
        </w:rPr>
        <w:t>6. Решение об отмене конкурентной закупки размещается в единой информационной системе в день принятия этого решения.</w:t>
      </w:r>
    </w:p>
    <w:p>
      <w:pPr>
        <w:pStyle w:val="Normal"/>
        <w:spacing w:before="0" w:after="0"/>
        <w:ind w:firstLine="567"/>
        <w:contextualSpacing/>
        <w:jc w:val="both"/>
        <w:rPr/>
      </w:pPr>
      <w:r>
        <w:rPr>
          <w:rFonts w:eastAsia="Calibri"/>
        </w:rPr>
        <w:t xml:space="preserve">  </w:t>
      </w:r>
      <w:r>
        <w:rPr>
          <w:rFonts w:eastAsia="Calibri"/>
        </w:rPr>
        <w:t xml:space="preserve">7.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76">
        <w:r>
          <w:rPr>
            <w:rStyle w:val="ListLabel2"/>
            <w:rFonts w:eastAsia="Calibri"/>
          </w:rPr>
          <w:t>непреодолимой силы</w:t>
        </w:r>
      </w:hyperlink>
      <w:r>
        <w:rPr>
          <w:rFonts w:eastAsia="Calibri"/>
        </w:rPr>
        <w:t xml:space="preserve"> в соответствии с гражданским законодательством.</w:t>
      </w:r>
    </w:p>
    <w:p>
      <w:pPr>
        <w:pStyle w:val="Normal"/>
        <w:spacing w:before="0" w:after="0"/>
        <w:ind w:firstLine="567"/>
        <w:contextualSpacing/>
        <w:jc w:val="both"/>
        <w:rPr>
          <w:rFonts w:eastAsia="Calibri"/>
        </w:rPr>
      </w:pPr>
      <w:r>
        <w:rPr>
          <w:rFonts w:eastAsia="Calibri"/>
        </w:rPr>
        <w:t xml:space="preserve">   </w:t>
      </w:r>
      <w:r>
        <w:rPr>
          <w:rFonts w:eastAsia="Calibri"/>
        </w:rP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pPr>
        <w:pStyle w:val="Normal"/>
        <w:spacing w:before="0" w:after="0"/>
        <w:ind w:firstLine="567"/>
        <w:contextualSpacing/>
        <w:jc w:val="both"/>
        <w:rPr>
          <w:rFonts w:eastAsia="Calibri"/>
        </w:rPr>
      </w:pPr>
      <w:r>
        <w:rPr>
          <w:rFonts w:eastAsia="Calibri"/>
        </w:rPr>
        <w:t xml:space="preserve">     </w:t>
      </w:r>
      <w:r>
        <w:rPr>
          <w:rFonts w:eastAsia="Calibri"/>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разделе 8.4 настоящего Положения.</w:t>
      </w:r>
    </w:p>
    <w:p>
      <w:pPr>
        <w:pStyle w:val="Normal"/>
        <w:spacing w:before="0" w:after="0"/>
        <w:ind w:firstLine="567"/>
        <w:contextualSpacing/>
        <w:jc w:val="both"/>
        <w:rPr>
          <w:rFonts w:eastAsia="Calibri"/>
        </w:rPr>
      </w:pPr>
      <w:r>
        <w:rPr>
          <w:rFonts w:eastAsia="Calibri"/>
        </w:rPr>
        <w:t xml:space="preserve">   </w:t>
      </w:r>
      <w:r>
        <w:rPr>
          <w:rFonts w:eastAsia="Calibri"/>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pPr>
        <w:pStyle w:val="Normal"/>
        <w:spacing w:before="0" w:after="0"/>
        <w:ind w:firstLine="567"/>
        <w:contextualSpacing/>
        <w:jc w:val="both"/>
        <w:rPr>
          <w:rFonts w:eastAsia="Calibri"/>
        </w:rPr>
      </w:pPr>
      <w:r>
        <w:rPr>
          <w:rFonts w:eastAsia="Calibri"/>
        </w:rPr>
        <w:t xml:space="preserve">    </w:t>
      </w:r>
      <w:r>
        <w:rPr>
          <w:rFonts w:eastAsia="Calibri"/>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pPr>
        <w:pStyle w:val="Normal"/>
        <w:spacing w:before="0" w:after="0"/>
        <w:ind w:firstLine="567"/>
        <w:contextualSpacing/>
        <w:jc w:val="both"/>
        <w:rPr>
          <w:b/>
          <w:b/>
          <w:bCs/>
        </w:rPr>
      </w:pPr>
      <w:r>
        <w:rPr>
          <w:rFonts w:eastAsia="Calibri"/>
        </w:rPr>
        <w:t xml:space="preserve">   </w:t>
      </w:r>
      <w:r>
        <w:rPr>
          <w:rFonts w:eastAsia="Calibri"/>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pPr>
        <w:pStyle w:val="Normal"/>
        <w:spacing w:before="0" w:after="0"/>
        <w:ind w:firstLine="567"/>
        <w:contextualSpacing/>
        <w:jc w:val="both"/>
        <w:rPr>
          <w:rFonts w:eastAsia="Calibri"/>
          <w:bCs/>
        </w:rPr>
      </w:pPr>
      <w:r>
        <w:rPr>
          <w:rFonts w:eastAsia="Calibri"/>
        </w:rPr>
        <w:t xml:space="preserve"> </w:t>
      </w:r>
      <w:r>
        <w:rPr>
          <w:rFonts w:eastAsia="Calibri"/>
          <w:bCs/>
        </w:rPr>
        <w:t xml:space="preserve">   </w:t>
      </w:r>
      <w:r>
        <w:rPr>
          <w:rFonts w:eastAsia="Calibri"/>
          <w:bCs/>
        </w:rPr>
        <w:t>14.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pPr>
        <w:pStyle w:val="Normal"/>
        <w:spacing w:before="0" w:after="0"/>
        <w:ind w:firstLine="567"/>
        <w:contextualSpacing/>
        <w:jc w:val="both"/>
        <w:rPr>
          <w:rFonts w:eastAsia="Calibri"/>
          <w:bCs/>
        </w:rPr>
      </w:pPr>
      <w:r>
        <w:rPr>
          <w:rFonts w:eastAsia="Calibri"/>
          <w:bCs/>
        </w:rPr>
        <w:t xml:space="preserve">   </w:t>
      </w:r>
      <w:r>
        <w:rPr>
          <w:rFonts w:eastAsia="Calibri"/>
          <w:bCs/>
        </w:rPr>
        <w:t>15. Конкурентные закупки могут включать в себя один или несколько этапов.</w:t>
      </w:r>
    </w:p>
    <w:p>
      <w:pPr>
        <w:pStyle w:val="Normal"/>
        <w:spacing w:before="0" w:after="0"/>
        <w:ind w:firstLine="567"/>
        <w:contextualSpacing/>
        <w:jc w:val="both"/>
        <w:rPr/>
      </w:pPr>
      <w:r>
        <w:rPr>
          <w:rFonts w:eastAsia="Calibri"/>
          <w:bCs/>
        </w:rPr>
        <w:t xml:space="preserve">   </w:t>
      </w:r>
      <w:r>
        <w:rPr>
          <w:rFonts w:eastAsia="Calibri"/>
          <w:bCs/>
        </w:rPr>
        <w:t xml:space="preserve">16.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77">
        <w:r>
          <w:rPr>
            <w:rStyle w:val="ListLabel3"/>
            <w:rFonts w:eastAsia="Calibri"/>
            <w:bCs/>
          </w:rPr>
          <w:t>кодексом</w:t>
        </w:r>
      </w:hyperlink>
      <w:r>
        <w:rPr>
          <w:rFonts w:eastAsia="Calibri"/>
          <w:bCs/>
        </w:rPr>
        <w:t xml:space="preserve"> Российской Федерации, за исключением проведения закупки в соответствии со </w:t>
      </w:r>
      <w:hyperlink r:id="rId78">
        <w:r>
          <w:rPr>
            <w:rStyle w:val="ListLabel3"/>
            <w:rFonts w:eastAsia="Calibri"/>
            <w:bCs/>
          </w:rPr>
          <w:t>пунктом 6.4</w:t>
        </w:r>
      </w:hyperlink>
      <w:r>
        <w:rPr>
          <w:rFonts w:eastAsia="Calibri"/>
          <w:bCs/>
        </w:rPr>
        <w:t xml:space="preserve">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pPr>
        <w:pStyle w:val="Normal"/>
        <w:spacing w:before="0" w:after="0"/>
        <w:ind w:firstLine="567"/>
        <w:contextualSpacing/>
        <w:jc w:val="both"/>
        <w:rPr>
          <w:rFonts w:eastAsia="Calibri"/>
          <w:bCs/>
        </w:rPr>
      </w:pPr>
      <w:r>
        <w:rPr>
          <w:rFonts w:eastAsia="Calibri"/>
          <w:bCs/>
        </w:rPr>
        <w:t>17. Возврат участнику конкурентной закупки обеспечения заявки на участие в закупке не производится в следующих случаях:</w:t>
      </w:r>
    </w:p>
    <w:p>
      <w:pPr>
        <w:pStyle w:val="Normal"/>
        <w:spacing w:before="0" w:after="0"/>
        <w:ind w:firstLine="567"/>
        <w:contextualSpacing/>
        <w:jc w:val="both"/>
        <w:rPr>
          <w:rFonts w:eastAsia="Calibri"/>
          <w:bCs/>
        </w:rPr>
      </w:pPr>
      <w:r>
        <w:rPr>
          <w:rFonts w:eastAsia="Calibri"/>
          <w:bCs/>
        </w:rPr>
        <w:t>1) уклонение или отказ участника закупки от заключения договора;</w:t>
      </w:r>
    </w:p>
    <w:p>
      <w:pPr>
        <w:pStyle w:val="Normal"/>
        <w:spacing w:before="0" w:after="0"/>
        <w:ind w:firstLine="567"/>
        <w:contextualSpacing/>
        <w:jc w:val="both"/>
        <w:rPr>
          <w:rFonts w:eastAsia="Calibri"/>
          <w:bCs/>
        </w:rPr>
      </w:pPr>
      <w:r>
        <w:rPr>
          <w:rFonts w:eastAsia="Calibri"/>
          <w:bCs/>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Normal"/>
        <w:spacing w:before="0" w:after="0"/>
        <w:ind w:firstLine="567"/>
        <w:contextualSpacing/>
        <w:jc w:val="both"/>
        <w:rPr>
          <w:rFonts w:eastAsia="Calibri"/>
          <w:bCs/>
        </w:rPr>
      </w:pPr>
      <w:r>
        <w:rPr>
          <w:rFonts w:eastAsia="Calibri"/>
          <w:bCs/>
        </w:rPr>
        <w:t>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pPr>
        <w:pStyle w:val="Normal"/>
        <w:spacing w:before="0" w:after="0"/>
        <w:ind w:firstLine="567"/>
        <w:contextualSpacing/>
        <w:jc w:val="both"/>
        <w:rPr>
          <w:rFonts w:eastAsia="Calibri"/>
          <w:bCs/>
        </w:rPr>
      </w:pPr>
      <w:r>
        <w:rPr>
          <w:rFonts w:eastAsia="Calibri"/>
          <w:bCs/>
        </w:rPr>
        <w:t>19.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pPr>
        <w:pStyle w:val="Normal"/>
        <w:spacing w:before="0" w:after="0"/>
        <w:ind w:firstLine="567"/>
        <w:contextualSpacing/>
        <w:jc w:val="center"/>
        <w:rPr>
          <w:b/>
          <w:b/>
          <w:bCs/>
        </w:rPr>
      </w:pPr>
      <w:r>
        <w:rPr>
          <w:b/>
          <w:bCs/>
        </w:rPr>
      </w:r>
    </w:p>
    <w:p>
      <w:pPr>
        <w:pStyle w:val="Normal"/>
        <w:ind w:firstLine="567"/>
        <w:jc w:val="center"/>
        <w:rPr>
          <w:rFonts w:eastAsia="Calibri"/>
          <w:b/>
          <w:b/>
        </w:rPr>
      </w:pPr>
      <w:r>
        <w:rPr>
          <w:b/>
          <w:bCs/>
        </w:rPr>
        <w:t xml:space="preserve">8.1. Требования к </w:t>
      </w:r>
      <w:r>
        <w:rPr>
          <w:rFonts w:eastAsia="Calibri"/>
          <w:b/>
        </w:rPr>
        <w:t>описанию в документации о конкурентной закупке предмета закупки</w:t>
      </w:r>
      <w:bookmarkStart w:id="78" w:name="_Hlk533591178"/>
      <w:bookmarkEnd w:id="78"/>
    </w:p>
    <w:p>
      <w:pPr>
        <w:pStyle w:val="Normal"/>
        <w:ind w:firstLine="567"/>
        <w:jc w:val="center"/>
        <w:rPr>
          <w:b/>
          <w:b/>
          <w:bCs/>
        </w:rPr>
      </w:pPr>
      <w:r>
        <w:rPr>
          <w:b/>
          <w:bCs/>
        </w:rPr>
      </w:r>
    </w:p>
    <w:p>
      <w:pPr>
        <w:pStyle w:val="Normal"/>
        <w:spacing w:before="0" w:after="0"/>
        <w:ind w:firstLine="567"/>
        <w:contextualSpacing/>
        <w:jc w:val="both"/>
        <w:rPr/>
      </w:pPr>
      <w:r>
        <w:rPr/>
        <w:t>8.1.1. В целях закупки товаров, работ, услуг заказчик должен определить требования к товарам, работам, услугам в документации о конкурентной закупке.</w:t>
      </w:r>
    </w:p>
    <w:p>
      <w:pPr>
        <w:pStyle w:val="Normal"/>
        <w:tabs>
          <w:tab w:val="left" w:pos="4678" w:leader="none"/>
        </w:tabs>
        <w:spacing w:before="0" w:after="0"/>
        <w:ind w:firstLine="567"/>
        <w:contextualSpacing/>
        <w:jc w:val="both"/>
        <w:rPr>
          <w:rFonts w:eastAsia="Calibri"/>
        </w:rPr>
      </w:pPr>
      <w:r>
        <w:rPr/>
        <w:t xml:space="preserve">8.1.2. </w:t>
      </w:r>
      <w:r>
        <w:rPr>
          <w:rFonts w:eastAsia="Calibri"/>
        </w:rPr>
        <w:t>При описании в документации о конкурентной закупке предмета закупки заказчик должен руководствоваться следующими правилами:</w:t>
      </w:r>
    </w:p>
    <w:p>
      <w:pPr>
        <w:pStyle w:val="Normal"/>
        <w:spacing w:before="0" w:after="0"/>
        <w:ind w:firstLine="567"/>
        <w:contextualSpacing/>
        <w:jc w:val="both"/>
        <w:rPr>
          <w:rFonts w:eastAsia="Calibri"/>
        </w:rPr>
      </w:pPr>
      <w:r>
        <w:rPr>
          <w:rFonts w:eastAsia="Calibri"/>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pPr>
        <w:pStyle w:val="Normal"/>
        <w:spacing w:before="0" w:after="0"/>
        <w:ind w:firstLine="567"/>
        <w:contextualSpacing/>
        <w:jc w:val="both"/>
        <w:rPr>
          <w:rFonts w:eastAsia="Calibri"/>
        </w:rPr>
      </w:pPr>
      <w:bookmarkStart w:id="79" w:name="_Hlk107212151"/>
      <w:r>
        <w:rPr>
          <w:rFonts w:eastAsia="Calibri"/>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79"/>
    </w:p>
    <w:p>
      <w:pPr>
        <w:pStyle w:val="Normal"/>
        <w:spacing w:before="0" w:after="0"/>
        <w:ind w:firstLine="567"/>
        <w:contextualSpacing/>
        <w:jc w:val="both"/>
        <w:rPr>
          <w:rFonts w:eastAsia="Calibri"/>
        </w:rPr>
      </w:pPr>
      <w:r>
        <w:rPr>
          <w:rFonts w:eastAsia="Calibri"/>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pPr>
        <w:pStyle w:val="Normal"/>
        <w:spacing w:before="0" w:after="0"/>
        <w:ind w:firstLine="567"/>
        <w:contextualSpacing/>
        <w:jc w:val="both"/>
        <w:rPr>
          <w:rFonts w:eastAsia="Calibri"/>
        </w:rPr>
      </w:pPr>
      <w:r>
        <w:rPr>
          <w:rFonts w:eastAsia="Calibri"/>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pPr>
        <w:pStyle w:val="Normal"/>
        <w:spacing w:before="0" w:after="0"/>
        <w:ind w:firstLine="567"/>
        <w:contextualSpacing/>
        <w:jc w:val="both"/>
        <w:rPr>
          <w:rFonts w:eastAsia="Calibri"/>
        </w:rPr>
      </w:pPr>
      <w:r>
        <w:rPr>
          <w:rFonts w:eastAsia="Calibri"/>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Normal"/>
        <w:spacing w:before="0" w:after="0"/>
        <w:ind w:firstLine="567"/>
        <w:contextualSpacing/>
        <w:jc w:val="both"/>
        <w:rPr>
          <w:rFonts w:eastAsia="Calibri"/>
        </w:rPr>
      </w:pPr>
      <w:r>
        <w:rPr>
          <w:rFonts w:eastAsia="Calibri"/>
        </w:rPr>
        <w:t>в) закупок товаров, необходимых для исполнения государственного или муниципального контракта;</w:t>
      </w:r>
    </w:p>
    <w:p>
      <w:pPr>
        <w:pStyle w:val="Normal"/>
        <w:spacing w:before="0" w:after="0"/>
        <w:ind w:firstLine="567"/>
        <w:contextualSpacing/>
        <w:jc w:val="both"/>
        <w:rPr/>
      </w:pPr>
      <w:r>
        <w:rPr>
          <w:rFonts w:eastAsia="Calibri"/>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79">
        <w:r>
          <w:rPr>
            <w:rStyle w:val="ListLabel2"/>
            <w:rFonts w:eastAsia="Calibri"/>
          </w:rPr>
          <w:t>части 2 статьи 1</w:t>
        </w:r>
      </w:hyperlink>
      <w:r>
        <w:rPr>
          <w:rFonts w:eastAsia="Calibri"/>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pPr>
        <w:pStyle w:val="Normal"/>
        <w:spacing w:before="0" w:after="0"/>
        <w:ind w:firstLine="567"/>
        <w:contextualSpacing/>
        <w:jc w:val="both"/>
        <w:rPr/>
      </w:pPr>
      <w:r>
        <w:rPr/>
        <w:t>8.1.3.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требования к предмету закупки должны учитывать данное решение Правительства Российской Федерации.</w:t>
      </w:r>
    </w:p>
    <w:p>
      <w:pPr>
        <w:pStyle w:val="Normal"/>
        <w:spacing w:before="0" w:after="0"/>
        <w:ind w:firstLine="567"/>
        <w:contextualSpacing/>
        <w:jc w:val="both"/>
        <w:rPr/>
      </w:pPr>
      <w:r>
        <w:rPr/>
      </w:r>
    </w:p>
    <w:p>
      <w:pPr>
        <w:pStyle w:val="Normal"/>
        <w:spacing w:before="0" w:after="0"/>
        <w:ind w:firstLine="567"/>
        <w:contextualSpacing/>
        <w:jc w:val="both"/>
        <w:rPr/>
      </w:pPr>
      <w:r>
        <w:rPr/>
      </w:r>
    </w:p>
    <w:p>
      <w:pPr>
        <w:pStyle w:val="Normal"/>
        <w:ind w:firstLine="567"/>
        <w:jc w:val="center"/>
        <w:rPr>
          <w:b/>
          <w:b/>
          <w:bCs/>
        </w:rPr>
      </w:pPr>
      <w:r>
        <w:rPr>
          <w:b/>
          <w:bCs/>
        </w:rPr>
        <w:t>8.2. Требования к правоспособности участника закупок</w:t>
      </w:r>
      <w:bookmarkStart w:id="80" w:name="_Hlk533591197"/>
      <w:bookmarkEnd w:id="80"/>
    </w:p>
    <w:p>
      <w:pPr>
        <w:pStyle w:val="Normal"/>
        <w:tabs>
          <w:tab w:val="left" w:pos="6450" w:leader="none"/>
        </w:tabs>
        <w:ind w:firstLine="567"/>
        <w:rPr>
          <w:b/>
          <w:b/>
          <w:bCs/>
        </w:rPr>
      </w:pPr>
      <w:r>
        <w:rPr>
          <w:b/>
          <w:bCs/>
        </w:rPr>
        <w:tab/>
      </w:r>
    </w:p>
    <w:p>
      <w:pPr>
        <w:pStyle w:val="Normal"/>
        <w:ind w:firstLine="567"/>
        <w:jc w:val="both"/>
        <w:rPr/>
      </w:pPr>
      <w:r>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pPr>
        <w:pStyle w:val="Normal"/>
        <w:ind w:firstLine="567"/>
        <w:jc w:val="both"/>
        <w:rPr/>
      </w:pPr>
      <w:r>
        <w:rPr/>
        <w:t xml:space="preserve">8.2.1. </w:t>
      </w:r>
      <w:r>
        <w:rPr>
          <w:shd w:fill="FFFFFF" w:val="clear"/>
        </w:rPr>
        <w:t>При закупке заказчик вправе установить следующие требования для участника закупки:</w:t>
      </w:r>
      <w:r>
        <w:rPr/>
        <w:t xml:space="preserve"> </w:t>
      </w:r>
    </w:p>
    <w:p>
      <w:pPr>
        <w:pStyle w:val="Normal"/>
        <w:ind w:firstLine="567"/>
        <w:jc w:val="both"/>
        <w:rPr/>
      </w:pPr>
      <w:r>
        <w:rPr/>
        <w:t>8.2.1.1.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лицензий, допусков от саморегулируемых организаций и др.);</w:t>
      </w:r>
    </w:p>
    <w:p>
      <w:pPr>
        <w:pStyle w:val="Normal"/>
        <w:ind w:firstLine="567"/>
        <w:jc w:val="both"/>
        <w:rPr/>
      </w:pPr>
      <w:r>
        <w:rPr/>
        <w:t>8.2.1.2.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pPr>
        <w:pStyle w:val="Normal"/>
        <w:ind w:firstLine="567"/>
        <w:jc w:val="both"/>
        <w:rPr/>
      </w:pPr>
      <w:r>
        <w:rPr/>
        <w:t>8.2.1.3.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pPr>
        <w:pStyle w:val="Normal"/>
        <w:ind w:firstLine="567"/>
        <w:jc w:val="both"/>
        <w:rPr/>
      </w:pPr>
      <w:r>
        <w:rPr/>
        <w:t>8.2.1.4.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r>
        <w:rPr>
          <w:color w:val="FF0000"/>
        </w:rPr>
        <w:t xml:space="preserve"> </w:t>
      </w:r>
      <w:r>
        <w:rPr>
          <w:shd w:fill="FFFFFF" w:val="clear"/>
        </w:rPr>
        <w:t>Участник закупки считается соответствующим установленным требованиям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pPr>
        <w:pStyle w:val="Normal"/>
        <w:shd w:val="clear" w:color="auto" w:fill="FFFFFF"/>
        <w:spacing w:before="0" w:after="0"/>
        <w:ind w:firstLine="567"/>
        <w:contextualSpacing/>
        <w:jc w:val="both"/>
        <w:textAlignment w:val="baseline"/>
        <w:rPr/>
      </w:pPr>
      <w:r>
        <w:rPr/>
        <w:t>8.2.1.5.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pPr>
        <w:pStyle w:val="Normal"/>
        <w:shd w:val="clear" w:color="auto" w:fill="FFFFFF"/>
        <w:tabs>
          <w:tab w:val="left" w:pos="7785" w:leader="none"/>
        </w:tabs>
        <w:spacing w:before="0" w:after="0"/>
        <w:ind w:firstLine="567"/>
        <w:contextualSpacing/>
        <w:jc w:val="both"/>
        <w:textAlignment w:val="baseline"/>
        <w:rPr/>
      </w:pPr>
      <w:r>
        <w:rPr/>
        <w:t>8.2.1.6.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pPr>
        <w:pStyle w:val="Normal"/>
        <w:shd w:val="clear" w:color="auto" w:fill="FFFFFF"/>
        <w:tabs>
          <w:tab w:val="left" w:pos="7785" w:leader="none"/>
        </w:tabs>
        <w:spacing w:before="0" w:after="0"/>
        <w:ind w:firstLine="567"/>
        <w:contextualSpacing/>
        <w:jc w:val="both"/>
        <w:textAlignment w:val="baseline"/>
        <w:rPr/>
      </w:pPr>
      <w:r>
        <w:rPr/>
        <w:t>8.2.1.7. отсутствие между участником закупки и Заказчиком конфликта интересов, под которым понимают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участниками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Normal"/>
        <w:shd w:val="clear" w:color="auto" w:fill="FFFFFF"/>
        <w:tabs>
          <w:tab w:val="left" w:pos="7785" w:leader="none"/>
        </w:tabs>
        <w:spacing w:before="0" w:after="0"/>
        <w:ind w:firstLine="567"/>
        <w:contextualSpacing/>
        <w:jc w:val="both"/>
        <w:textAlignment w:val="baseline"/>
        <w:rPr/>
      </w:pPr>
      <w:r>
        <w:rPr/>
        <w:t>8.2.1.8. участник закупки не является оффшорной компанией;</w:t>
      </w:r>
    </w:p>
    <w:p>
      <w:pPr>
        <w:pStyle w:val="Normal"/>
        <w:suppressAutoHyphens w:val="false"/>
        <w:ind w:firstLine="567"/>
        <w:jc w:val="both"/>
        <w:rPr>
          <w:rFonts w:eastAsia="Calibri" w:eastAsiaTheme="minorHAnsi"/>
          <w:lang w:eastAsia="en-US"/>
        </w:rPr>
      </w:pPr>
      <w:bookmarkStart w:id="81" w:name="_Hlk113444848"/>
      <w:r>
        <w:rPr/>
        <w:t xml:space="preserve">8.2.1.9. участник закупки не является иностранным агентом в соответсвии с </w:t>
      </w:r>
      <w:r>
        <w:rPr>
          <w:rFonts w:eastAsia="Calibri" w:eastAsiaTheme="minorHAnsi"/>
          <w:lang w:eastAsia="en-US"/>
        </w:rPr>
        <w:t>Федеральным законом от 14.07.2022 N 255-ФЗ «О контроле за деятельностью лиц, находящихся под иностранным влиянием»</w:t>
      </w:r>
      <w:bookmarkEnd w:id="81"/>
      <w:r>
        <w:rPr>
          <w:rFonts w:eastAsia="Calibri" w:eastAsiaTheme="minorHAnsi"/>
          <w:lang w:eastAsia="en-US"/>
        </w:rPr>
        <w:t>.</w:t>
      </w:r>
    </w:p>
    <w:p>
      <w:pPr>
        <w:pStyle w:val="Normal"/>
        <w:ind w:firstLine="567"/>
        <w:jc w:val="both"/>
        <w:rPr/>
      </w:pPr>
      <w:r>
        <w:rPr/>
        <w:t>8.2.2.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pPr>
        <w:pStyle w:val="Normal"/>
        <w:ind w:firstLine="567"/>
        <w:jc w:val="both"/>
        <w:rPr/>
      </w:pPr>
      <w:r>
        <w:rPr/>
        <w:t>Заказчик вправе установить следующие дополнительные требования:</w:t>
      </w:r>
    </w:p>
    <w:p>
      <w:pPr>
        <w:pStyle w:val="ConsPlusNormal2"/>
        <w:widowControl/>
        <w:ind w:firstLine="567"/>
        <w:jc w:val="both"/>
        <w:rPr/>
      </w:pPr>
      <w:r>
        <w:rPr>
          <w:rFonts w:cs="Times New Roman" w:ascii="Times New Roman" w:hAnsi="Times New Roman"/>
          <w:sz w:val="24"/>
          <w:szCs w:val="24"/>
        </w:rPr>
        <w:t xml:space="preserve">8.2.2.1. отсутствие сведений об участнике закупки в реестре недобросовестных поставщиков, предусмотренном ст. 5 Федерального закона N 223-ФЗ и в реестре недобросовестных поставщиков, предусмотренном </w:t>
      </w:r>
      <w:hyperlink r:id="rId80">
        <w:r>
          <w:rPr>
            <w:rStyle w:val="ListLabel9"/>
            <w:rFonts w:cs="Times New Roman" w:ascii="Times New Roman" w:hAnsi="Times New Roman"/>
            <w:sz w:val="24"/>
            <w:szCs w:val="24"/>
          </w:rPr>
          <w:t>Федеральным законом</w:t>
        </w:r>
      </w:hyperlink>
      <w:r>
        <w:rPr>
          <w:rFonts w:cs="Times New Roman"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bookmarkStart w:id="82" w:name="_Toc417549771"/>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8.2.2.2.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82"/>
      <w:r>
        <w:rPr>
          <w:rFonts w:cs="Times New Roman" w:ascii="Times New Roman" w:hAnsi="Times New Roman"/>
          <w:sz w:val="24"/>
          <w:szCs w:val="24"/>
        </w:rPr>
        <w:t>;</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8.2.2.3. наличие опыта поставки аналогичных товаров, выполнения аналогичных работ, оказания аналогичных услуг, в том числе за определенный промежуток времени;</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8.2.2.4. наличие на праве собственности или ином законном основании производственных мощностей, технологического оборудования и иных материально-технических ресурсов для исполнения договора;</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8.2.2.5. наличие финансовых ресурсов для исполнения договора;</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8.2.2.6. наличие документов, подтверждающих деловую репутацию участника закупки (привлекаемого субподрядчика / соисполнителя) и (или) предприятия - изготовителя товара, право на поставку которого является предметом закупки;</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8.2.2.7. наличие необходимого количества специалистов и иных работников определенного уровня квалификации для исполнения договора;</w:t>
      </w:r>
    </w:p>
    <w:p>
      <w:pPr>
        <w:pStyle w:val="ConsPlusNormal2"/>
        <w:widowControl/>
        <w:ind w:firstLine="567"/>
        <w:jc w:val="both"/>
        <w:rPr>
          <w:rFonts w:ascii="Times New Roman" w:hAnsi="Times New Roman" w:cs="Times New Roman"/>
          <w:sz w:val="24"/>
          <w:szCs w:val="24"/>
        </w:rPr>
      </w:pPr>
      <w:bookmarkStart w:id="83" w:name="P252"/>
      <w:bookmarkEnd w:id="83"/>
      <w:r>
        <w:rPr>
          <w:rFonts w:cs="Times New Roman" w:ascii="Times New Roman" w:hAnsi="Times New Roman"/>
          <w:sz w:val="24"/>
          <w:szCs w:val="24"/>
        </w:rPr>
        <w:t>8.2.2.8. наличие документов, подтверждающих право на реализацию товаров определенного производителя, являющихся предметом заключаемого договора.</w:t>
      </w:r>
    </w:p>
    <w:p>
      <w:pPr>
        <w:pStyle w:val="Normal"/>
        <w:shd w:val="clear" w:color="auto" w:fill="FFFFFF"/>
        <w:spacing w:before="0" w:after="0"/>
        <w:ind w:firstLine="567"/>
        <w:contextualSpacing/>
        <w:jc w:val="both"/>
        <w:textAlignment w:val="baseline"/>
        <w:rPr/>
      </w:pPr>
      <w:r>
        <w:rPr/>
        <w:t>При этом в извещении и (или) документации о закупке могут быть установлены четкие параметры определения и предельные показатели достаточности и необходимости обладания участниками указанными в документации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w:t>
      </w:r>
    </w:p>
    <w:p>
      <w:pPr>
        <w:pStyle w:val="Normal"/>
        <w:ind w:firstLine="567"/>
        <w:jc w:val="both"/>
        <w:rPr/>
      </w:pPr>
      <w:r>
        <w:rPr/>
        <w:t>8.2.3. При выявлении недостоверных сведений в представленных участником закупки документах для участия в процедуре закупки, несоответствия участника требованиям, предъявляемым к участнику закупки, несоответствия поставляемого товара, выполняемых работ, оказываемых услуг требованиям, установленным к товарам, работам, услугам, являющихся предметом закупки, комиссия по закупкам отстраняет участника закупки от дальнейшего участия в процедуре закупки на любом этапе его проведения.  Факт отстранения такого участника может быть использован комиссией при проведении последующих закупок.</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8.2.4.</w:t>
      </w:r>
      <w:r>
        <w:rPr>
          <w:sz w:val="24"/>
          <w:szCs w:val="24"/>
        </w:rPr>
        <w:t xml:space="preserve"> </w:t>
      </w:r>
      <w:r>
        <w:rPr>
          <w:rFonts w:cs="Times New Roman" w:ascii="Times New Roman" w:hAnsi="Times New Roman"/>
          <w:sz w:val="24"/>
          <w:szCs w:val="24"/>
        </w:rPr>
        <w:t>Информация об установленных требованиях к участникам закупки указывается Заказчиком в извещении об осуществлении закупки и (или) документации о закупке.</w:t>
      </w:r>
    </w:p>
    <w:p>
      <w:pPr>
        <w:pStyle w:val="Normal"/>
        <w:ind w:firstLine="567"/>
        <w:jc w:val="center"/>
        <w:rPr>
          <w:b/>
          <w:b/>
          <w:bCs/>
        </w:rPr>
      </w:pPr>
      <w:r>
        <w:rPr>
          <w:b/>
          <w:bCs/>
        </w:rPr>
      </w:r>
    </w:p>
    <w:p>
      <w:pPr>
        <w:pStyle w:val="Normal"/>
        <w:ind w:firstLine="567"/>
        <w:jc w:val="center"/>
        <w:rPr>
          <w:b/>
          <w:b/>
          <w:bCs/>
        </w:rPr>
      </w:pPr>
      <w:r>
        <w:rPr>
          <w:b/>
          <w:bCs/>
        </w:rPr>
        <w:t>8.3. Требования к извещению о закупке</w:t>
      </w:r>
      <w:bookmarkStart w:id="84" w:name="_Hlk533591225"/>
      <w:bookmarkEnd w:id="84"/>
    </w:p>
    <w:p>
      <w:pPr>
        <w:pStyle w:val="Normal"/>
        <w:ind w:firstLine="567"/>
        <w:jc w:val="center"/>
        <w:rPr>
          <w:b/>
          <w:b/>
          <w:bCs/>
        </w:rPr>
      </w:pPr>
      <w:r>
        <w:rPr>
          <w:b/>
          <w:bCs/>
        </w:rPr>
      </w:r>
    </w:p>
    <w:p>
      <w:pPr>
        <w:pStyle w:val="Normal"/>
        <w:ind w:firstLine="567"/>
        <w:jc w:val="both"/>
        <w:rPr>
          <w:rFonts w:eastAsia="Calibri"/>
        </w:rPr>
      </w:pPr>
      <w:r>
        <w:rPr>
          <w:rFonts w:eastAsia="Calibri"/>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pPr>
        <w:pStyle w:val="Normal"/>
        <w:ind w:firstLine="567"/>
        <w:jc w:val="both"/>
        <w:rPr/>
      </w:pPr>
      <w:r>
        <w:rPr/>
        <w:t xml:space="preserve">8.3.1. В извещении </w:t>
      </w:r>
      <w:r>
        <w:rPr>
          <w:rFonts w:eastAsia="Calibri"/>
        </w:rPr>
        <w:t xml:space="preserve">об осуществлении конкурентной закупки </w:t>
      </w:r>
      <w:r>
        <w:rPr/>
        <w:t>должны быть указаны следующие сведения:</w:t>
      </w:r>
    </w:p>
    <w:p>
      <w:pPr>
        <w:pStyle w:val="Normal"/>
        <w:ind w:firstLine="567"/>
        <w:jc w:val="both"/>
        <w:rPr/>
      </w:pPr>
      <w:r>
        <w:rPr/>
        <w:t>8.3.1.1. способ осуществления закупки;</w:t>
      </w:r>
    </w:p>
    <w:p>
      <w:pPr>
        <w:pStyle w:val="Normal"/>
        <w:ind w:firstLine="567"/>
        <w:jc w:val="both"/>
        <w:rPr/>
      </w:pPr>
      <w:r>
        <w:rPr/>
        <w:t>8.3.1.2. наименование, место нахождения, почтовый адрес, адрес электронной почты, номер контактного телефона заказчика;</w:t>
      </w:r>
    </w:p>
    <w:p>
      <w:pPr>
        <w:pStyle w:val="Normal"/>
        <w:ind w:firstLine="567"/>
        <w:jc w:val="both"/>
        <w:rPr/>
      </w:pPr>
      <w:r>
        <w:rPr/>
        <w:t xml:space="preserve">8.3.1.3. предмет договора с указанием количества поставляемого товара, объема </w:t>
      </w:r>
      <w:r>
        <w:rPr>
          <w:rFonts w:eastAsia="Calibri"/>
        </w:rPr>
        <w:t xml:space="preserve">выполняемой работы, оказываемой услуги, а также краткое описание предмета закупки в соответствии с </w:t>
      </w:r>
      <w:hyperlink r:id="rId81">
        <w:r>
          <w:rPr>
            <w:rStyle w:val="ListLabel2"/>
            <w:rFonts w:eastAsia="Calibri"/>
          </w:rPr>
          <w:t>ч. 6.1 ст. 3</w:t>
        </w:r>
      </w:hyperlink>
      <w:r>
        <w:rPr>
          <w:rFonts w:eastAsia="Calibri"/>
        </w:rPr>
        <w:t xml:space="preserve"> Закона N 223-ФЗ и </w:t>
      </w:r>
      <w:hyperlink r:id="rId82">
        <w:r>
          <w:rPr>
            <w:rStyle w:val="ListLabel2"/>
            <w:rFonts w:eastAsia="Calibri"/>
          </w:rPr>
          <w:t>разделом</w:t>
        </w:r>
      </w:hyperlink>
      <w:r>
        <w:rPr>
          <w:rFonts w:eastAsia="Calibri"/>
        </w:rPr>
        <w:t xml:space="preserve"> 8.1 настоящего Положения;</w:t>
      </w:r>
    </w:p>
    <w:p>
      <w:pPr>
        <w:pStyle w:val="Normal"/>
        <w:ind w:firstLine="567"/>
        <w:jc w:val="both"/>
        <w:rPr/>
      </w:pPr>
      <w:r>
        <w:rPr/>
        <w:t>8.3.1.4. место поставки товара, выполнения работы, оказания услуги;</w:t>
      </w:r>
    </w:p>
    <w:p>
      <w:pPr>
        <w:pStyle w:val="Normal"/>
        <w:suppressAutoHyphens w:val="false"/>
        <w:ind w:firstLine="567"/>
        <w:jc w:val="both"/>
        <w:rPr>
          <w:rFonts w:eastAsia="Calibri"/>
        </w:rPr>
      </w:pPr>
      <w:r>
        <w:rPr/>
        <w:t xml:space="preserve">8.3.1.5. </w:t>
      </w:r>
      <w:r>
        <w:rPr>
          <w:rFonts w:eastAsia="Calibri" w:eastAsiaTheme="minorHAnsi"/>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Pr>
          <w:rFonts w:eastAsia="Calibri"/>
        </w:rPr>
        <w:t>;</w:t>
      </w:r>
      <w:bookmarkStart w:id="85" w:name="_Hlk101772432"/>
      <w:bookmarkEnd w:id="85"/>
    </w:p>
    <w:p>
      <w:pPr>
        <w:pStyle w:val="Normal"/>
        <w:ind w:firstLine="567"/>
        <w:jc w:val="both"/>
        <w:rPr/>
      </w:pPr>
      <w:r>
        <w:rPr/>
        <w:t>8.3.1.6.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pPr>
        <w:pStyle w:val="Normal"/>
        <w:spacing w:before="0" w:after="0"/>
        <w:ind w:firstLine="567"/>
        <w:contextualSpacing/>
        <w:jc w:val="both"/>
        <w:rPr>
          <w:rFonts w:eastAsia="Calibri"/>
        </w:rPr>
      </w:pPr>
      <w:r>
        <w:rPr/>
        <w:t xml:space="preserve">8.3.1.7. </w:t>
      </w:r>
      <w:r>
        <w:rPr>
          <w:rFonts w:eastAsia="Calibri"/>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pPr>
        <w:pStyle w:val="Normal"/>
        <w:spacing w:before="0" w:after="0"/>
        <w:ind w:firstLine="567"/>
        <w:contextualSpacing/>
        <w:jc w:val="both"/>
        <w:rPr>
          <w:rFonts w:eastAsia="Calibri"/>
        </w:rPr>
      </w:pPr>
      <w:r>
        <w:rPr>
          <w:rFonts w:eastAsia="Calibri"/>
        </w:rPr>
        <w:t>8.3.1.8. адрес электронной площадки в информационно-телекоммуникационной сети "Интернет" (при осуществлении конкурентной закупки в электронной форме);</w:t>
      </w:r>
    </w:p>
    <w:p>
      <w:pPr>
        <w:pStyle w:val="Normal"/>
        <w:spacing w:before="0" w:after="0"/>
        <w:ind w:firstLine="567"/>
        <w:contextualSpacing/>
        <w:jc w:val="both"/>
        <w:rPr>
          <w:rFonts w:eastAsia="Calibri"/>
        </w:rPr>
      </w:pPr>
      <w:r>
        <w:rPr>
          <w:rFonts w:eastAsia="Calibri"/>
        </w:rPr>
        <w:t>8.3.1.9. иные сведения, определенные настоящим Положением.</w:t>
      </w:r>
    </w:p>
    <w:p>
      <w:pPr>
        <w:pStyle w:val="Normal"/>
        <w:ind w:firstLine="567"/>
        <w:jc w:val="both"/>
        <w:rPr/>
      </w:pPr>
      <w:r>
        <w:rPr/>
      </w:r>
    </w:p>
    <w:p>
      <w:pPr>
        <w:pStyle w:val="Normal"/>
        <w:ind w:firstLine="567"/>
        <w:jc w:val="center"/>
        <w:rPr>
          <w:b/>
          <w:b/>
          <w:bCs/>
        </w:rPr>
      </w:pPr>
      <w:r>
        <w:rPr>
          <w:b/>
          <w:bCs/>
        </w:rPr>
        <w:t>8.4. Требования к документации о закупке</w:t>
      </w:r>
      <w:bookmarkStart w:id="86" w:name="_Hlk533591270"/>
      <w:bookmarkEnd w:id="86"/>
    </w:p>
    <w:p>
      <w:pPr>
        <w:pStyle w:val="Normal"/>
        <w:ind w:firstLine="567"/>
        <w:jc w:val="center"/>
        <w:rPr>
          <w:b/>
          <w:b/>
          <w:bCs/>
        </w:rPr>
      </w:pPr>
      <w:r>
        <w:rPr>
          <w:b/>
          <w:bCs/>
        </w:rPr>
      </w:r>
    </w:p>
    <w:p>
      <w:pPr>
        <w:pStyle w:val="Normal"/>
        <w:ind w:firstLine="567"/>
        <w:jc w:val="both"/>
        <w:rPr/>
      </w:pPr>
      <w:r>
        <w:rPr/>
        <w:t>В документации о закупке должны быть указаны:</w:t>
      </w:r>
    </w:p>
    <w:p>
      <w:pPr>
        <w:pStyle w:val="Normal"/>
        <w:ind w:firstLine="567"/>
        <w:jc w:val="both"/>
        <w:rPr/>
      </w:pPr>
      <w:r>
        <w:rPr/>
        <w:t>8.4.1.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pPr>
        <w:pStyle w:val="Normal"/>
        <w:ind w:firstLine="567"/>
        <w:jc w:val="both"/>
        <w:rPr/>
      </w:pPr>
      <w:r>
        <w:rPr/>
        <w:t>8.4.2. требования к содержанию, форме, оформлению и составу заявки на участие в закупке;</w:t>
      </w:r>
    </w:p>
    <w:p>
      <w:pPr>
        <w:pStyle w:val="Normal"/>
        <w:ind w:firstLine="567"/>
        <w:jc w:val="both"/>
        <w:rPr/>
      </w:pPr>
      <w:r>
        <w:rPr/>
        <w:t>8.4.3.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pPr>
        <w:pStyle w:val="Normal"/>
        <w:ind w:firstLine="567"/>
        <w:jc w:val="both"/>
        <w:rPr/>
      </w:pPr>
      <w:r>
        <w:rPr/>
        <w:t>8.4.4. место, условия и сроки (периоды) поставки товара, выполнения работы, оказания услуги;</w:t>
      </w:r>
    </w:p>
    <w:p>
      <w:pPr>
        <w:pStyle w:val="Normal"/>
        <w:ind w:firstLine="567"/>
        <w:jc w:val="both"/>
        <w:rPr/>
      </w:pPr>
      <w:r>
        <w:rPr/>
        <w:t xml:space="preserve">8.4.5. </w:t>
      </w:r>
      <w:r>
        <w:rPr>
          <w:rFonts w:eastAsia="Calibri" w:eastAsiaTheme="minorHAnsi"/>
          <w:lang w:eastAsia="en-US"/>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Pr>
          <w:rFonts w:eastAsia="Calibri"/>
        </w:rPr>
        <w:t>;</w:t>
      </w:r>
    </w:p>
    <w:p>
      <w:pPr>
        <w:pStyle w:val="Normal"/>
        <w:ind w:firstLine="567"/>
        <w:jc w:val="both"/>
        <w:rPr/>
      </w:pPr>
      <w:r>
        <w:rPr/>
        <w:t>8.4.6. форма, сроки и порядок оплаты товара, работы, услуги;</w:t>
      </w:r>
    </w:p>
    <w:p>
      <w:pPr>
        <w:pStyle w:val="Normal"/>
        <w:ind w:firstLine="567"/>
        <w:jc w:val="both"/>
        <w:rPr/>
      </w:pPr>
      <w:r>
        <w:rPr/>
        <w:t xml:space="preserve">8.4.7. </w:t>
      </w:r>
      <w:r>
        <w:rPr>
          <w:rFonts w:eastAsia="Calibri" w:eastAsiaTheme="minorHAnsi"/>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t>;</w:t>
      </w:r>
    </w:p>
    <w:p>
      <w:pPr>
        <w:pStyle w:val="Normal"/>
        <w:ind w:firstLine="567"/>
        <w:jc w:val="both"/>
        <w:rPr>
          <w:rFonts w:eastAsia="Calibri"/>
        </w:rPr>
      </w:pPr>
      <w:r>
        <w:rPr/>
        <w:t xml:space="preserve">8.4.8. </w:t>
      </w:r>
      <w:r>
        <w:rPr>
          <w:rFonts w:eastAsia="Calibri"/>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pPr>
        <w:pStyle w:val="Normal"/>
        <w:ind w:firstLine="567"/>
        <w:jc w:val="both"/>
        <w:rPr>
          <w:rFonts w:eastAsia="Calibri"/>
        </w:rPr>
      </w:pPr>
      <w:r>
        <w:rPr/>
        <w:t xml:space="preserve">8.4.9. </w:t>
      </w:r>
      <w:r>
        <w:rPr>
          <w:rFonts w:eastAsia="Calibri"/>
        </w:rPr>
        <w:t>требования к участникам такой закупки;</w:t>
      </w:r>
    </w:p>
    <w:p>
      <w:pPr>
        <w:pStyle w:val="Normal"/>
        <w:ind w:firstLine="567"/>
        <w:jc w:val="both"/>
        <w:rPr/>
      </w:pPr>
      <w:r>
        <w:rPr>
          <w:rFonts w:eastAsia="Calibri"/>
        </w:rPr>
        <w:t>8.4.10.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pPr>
        <w:pStyle w:val="Normal"/>
        <w:ind w:firstLine="567"/>
        <w:jc w:val="both"/>
        <w:rPr/>
      </w:pPr>
      <w:r>
        <w:rPr/>
        <w:t>8.4.11. формы, порядок, дата и время окончания срока предоставления участникам такой закупки разъяснений положений документации о закупке;</w:t>
      </w:r>
    </w:p>
    <w:p>
      <w:pPr>
        <w:pStyle w:val="Normal"/>
        <w:ind w:firstLine="567"/>
        <w:jc w:val="both"/>
        <w:rPr/>
      </w:pPr>
      <w:r>
        <w:rPr/>
        <w:t>8.4.12. дата рассмотрения предложений участников такой закупки и подведения итогов такой закупки;</w:t>
      </w:r>
    </w:p>
    <w:p>
      <w:pPr>
        <w:pStyle w:val="Normal"/>
        <w:ind w:firstLine="567"/>
        <w:jc w:val="both"/>
        <w:rPr/>
      </w:pPr>
      <w:r>
        <w:rPr/>
        <w:t>8.4.13. критерии оценки и сопоставления заявок на участие в такой закупке;</w:t>
      </w:r>
    </w:p>
    <w:p>
      <w:pPr>
        <w:pStyle w:val="Normal"/>
        <w:ind w:firstLine="567"/>
        <w:jc w:val="both"/>
        <w:rPr/>
      </w:pPr>
      <w:r>
        <w:rPr/>
        <w:t xml:space="preserve">8.4.14. порядок оценки и сопоставления заявок на участие в такой закупке; </w:t>
      </w:r>
    </w:p>
    <w:p>
      <w:pPr>
        <w:pStyle w:val="Normal"/>
        <w:ind w:firstLine="567"/>
        <w:jc w:val="both"/>
        <w:rPr>
          <w:rFonts w:eastAsia="Calibri"/>
        </w:rPr>
      </w:pPr>
      <w:r>
        <w:rPr>
          <w:rFonts w:eastAsia="Calibri"/>
        </w:rPr>
        <w:t>8.4.15. описание предмета такой закупки в соответствии с разделом 8.1 настоящего Положения;</w:t>
      </w:r>
    </w:p>
    <w:p>
      <w:pPr>
        <w:pStyle w:val="Normal"/>
        <w:ind w:firstLine="567"/>
        <w:jc w:val="both"/>
        <w:rPr>
          <w:rFonts w:eastAsia="Calibri"/>
        </w:rPr>
      </w:pPr>
      <w:r>
        <w:rPr>
          <w:rFonts w:eastAsia="Calibri"/>
        </w:rPr>
        <w:t>8.4.16. иные сведения, определенные Положением о закупке.</w:t>
      </w:r>
    </w:p>
    <w:p>
      <w:pPr>
        <w:pStyle w:val="Normal"/>
        <w:ind w:firstLine="567"/>
        <w:jc w:val="both"/>
        <w:rPr/>
      </w:pPr>
      <w:r>
        <w:rPr>
          <w:color w:val="FF0000"/>
        </w:rPr>
        <w:t>.</w:t>
      </w:r>
    </w:p>
    <w:p>
      <w:pPr>
        <w:pStyle w:val="Normal"/>
        <w:ind w:firstLine="567"/>
        <w:jc w:val="center"/>
        <w:rPr>
          <w:b/>
          <w:b/>
          <w:bCs/>
        </w:rPr>
      </w:pPr>
      <w:r>
        <w:rPr>
          <w:b/>
          <w:bCs/>
        </w:rPr>
        <w:t>8.5. Требования к протоколам, составленным в ходе осуществления и по результатам конкурентной закупки</w:t>
      </w:r>
    </w:p>
    <w:p>
      <w:pPr>
        <w:pStyle w:val="Normal"/>
        <w:ind w:firstLine="567"/>
        <w:jc w:val="both"/>
        <w:rPr>
          <w:b/>
          <w:b/>
          <w:bCs/>
        </w:rPr>
      </w:pPr>
      <w:r>
        <w:rPr>
          <w:b/>
          <w:bCs/>
        </w:rPr>
      </w:r>
      <w:bookmarkStart w:id="87" w:name="_Hlk533591381"/>
      <w:bookmarkStart w:id="88" w:name="_Hlk533591381"/>
      <w:bookmarkEnd w:id="88"/>
    </w:p>
    <w:p>
      <w:pPr>
        <w:pStyle w:val="Normal"/>
        <w:ind w:firstLine="567"/>
        <w:jc w:val="both"/>
        <w:rPr>
          <w:rFonts w:eastAsia="Calibri"/>
        </w:rPr>
      </w:pPr>
      <w:r>
        <w:rPr>
          <w:rFonts w:eastAsia="Calibri"/>
        </w:rPr>
        <w:t>8.5.1.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pPr>
        <w:pStyle w:val="Normal"/>
        <w:ind w:firstLine="567"/>
        <w:jc w:val="both"/>
        <w:rPr>
          <w:rFonts w:eastAsia="Calibri"/>
        </w:rPr>
      </w:pPr>
      <w:r>
        <w:rPr>
          <w:rFonts w:eastAsia="Calibri"/>
        </w:rPr>
        <w:t>1) дата подписания протокола;</w:t>
      </w:r>
    </w:p>
    <w:p>
      <w:pPr>
        <w:pStyle w:val="Normal"/>
        <w:ind w:firstLine="567"/>
        <w:jc w:val="both"/>
        <w:rPr>
          <w:rFonts w:eastAsia="Calibri"/>
        </w:rPr>
      </w:pPr>
      <w:r>
        <w:rPr>
          <w:rFonts w:eastAsia="Calibri"/>
        </w:rPr>
        <w:t>2) количество поданных на участие в закупке (этапе закупки) заявок, а также дата и время регистрации каждой такой заявки;</w:t>
      </w:r>
    </w:p>
    <w:p>
      <w:pPr>
        <w:pStyle w:val="Normal"/>
        <w:ind w:firstLine="567"/>
        <w:jc w:val="both"/>
        <w:rPr>
          <w:rFonts w:eastAsia="Calibri"/>
        </w:rPr>
      </w:pPr>
      <w:r>
        <w:rPr>
          <w:rFonts w:eastAsia="Calibri"/>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pPr>
        <w:pStyle w:val="Normal"/>
        <w:ind w:firstLine="567"/>
        <w:jc w:val="both"/>
        <w:rPr>
          <w:rFonts w:eastAsia="Calibri"/>
        </w:rPr>
      </w:pPr>
      <w:r>
        <w:rPr>
          <w:rFonts w:eastAsia="Calibri"/>
        </w:rPr>
        <w:t>а) количества заявок на участие в закупке, которые отклонены;</w:t>
      </w:r>
    </w:p>
    <w:p>
      <w:pPr>
        <w:pStyle w:val="Normal"/>
        <w:ind w:firstLine="567"/>
        <w:jc w:val="both"/>
        <w:rPr>
          <w:rFonts w:eastAsia="Calibri"/>
        </w:rPr>
      </w:pPr>
      <w:r>
        <w:rPr>
          <w:rFonts w:eastAsia="Calibri"/>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pPr>
        <w:pStyle w:val="Normal"/>
        <w:ind w:firstLine="567"/>
        <w:jc w:val="both"/>
        <w:rPr>
          <w:rFonts w:eastAsia="Calibri"/>
        </w:rPr>
      </w:pPr>
      <w:r>
        <w:rPr>
          <w:rFonts w:eastAsia="Calibri"/>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pPr>
        <w:pStyle w:val="Normal"/>
        <w:ind w:firstLine="567"/>
        <w:jc w:val="both"/>
        <w:rPr>
          <w:rFonts w:eastAsia="Calibri"/>
        </w:rPr>
      </w:pPr>
      <w:r>
        <w:rPr>
          <w:rFonts w:eastAsia="Calibri"/>
        </w:rPr>
        <w:t>5) причины, по которым конкурентная закупка признана несостоявшейся, в случае ее признания таковой;</w:t>
      </w:r>
    </w:p>
    <w:p>
      <w:pPr>
        <w:pStyle w:val="Normal"/>
        <w:ind w:firstLine="567"/>
        <w:jc w:val="both"/>
        <w:rPr>
          <w:rFonts w:eastAsia="Calibri"/>
        </w:rPr>
      </w:pPr>
      <w:r>
        <w:rPr>
          <w:rFonts w:eastAsia="Calibri"/>
        </w:rPr>
        <w:t>6) иные сведения в случае, если необходимость их указания в протоколе предусмотрена Положением о закупке.</w:t>
      </w:r>
    </w:p>
    <w:p>
      <w:pPr>
        <w:pStyle w:val="Normal"/>
        <w:ind w:firstLine="567"/>
        <w:jc w:val="both"/>
        <w:rPr>
          <w:rFonts w:eastAsia="Calibri"/>
        </w:rPr>
      </w:pPr>
      <w:r>
        <w:rPr>
          <w:rFonts w:eastAsia="Calibri"/>
        </w:rPr>
        <w:t>8.5.2. Протокол, составленный по итогам конкурентной закупки (далее - итоговый протокол), должен содержать следующие сведения:</w:t>
      </w:r>
    </w:p>
    <w:p>
      <w:pPr>
        <w:pStyle w:val="Normal"/>
        <w:ind w:firstLine="567"/>
        <w:jc w:val="both"/>
        <w:rPr>
          <w:rFonts w:eastAsia="Calibri"/>
        </w:rPr>
      </w:pPr>
      <w:r>
        <w:rPr>
          <w:rFonts w:eastAsia="Calibri"/>
        </w:rPr>
        <w:t>1) дата подписания протокола;</w:t>
      </w:r>
    </w:p>
    <w:p>
      <w:pPr>
        <w:pStyle w:val="Normal"/>
        <w:ind w:firstLine="567"/>
        <w:jc w:val="both"/>
        <w:rPr>
          <w:rFonts w:eastAsia="Calibri"/>
        </w:rPr>
      </w:pPr>
      <w:r>
        <w:rPr>
          <w:rFonts w:eastAsia="Calibri"/>
        </w:rPr>
        <w:t>2) количество поданных заявок на участие в закупке, а также дата и время регистрации каждой такой заявки;</w:t>
      </w:r>
    </w:p>
    <w:p>
      <w:pPr>
        <w:pStyle w:val="Normal"/>
        <w:ind w:firstLine="567"/>
        <w:jc w:val="both"/>
        <w:rPr>
          <w:rFonts w:eastAsia="Calibri"/>
        </w:rPr>
      </w:pPr>
      <w:r>
        <w:rPr>
          <w:rFonts w:eastAsia="Calibri"/>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pPr>
        <w:pStyle w:val="Normal"/>
        <w:ind w:firstLine="567"/>
        <w:jc w:val="both"/>
        <w:rPr>
          <w:rFonts w:eastAsia="Calibri"/>
        </w:rPr>
      </w:pPr>
      <w:r>
        <w:rPr>
          <w:rFonts w:eastAsia="Calibri"/>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pPr>
        <w:pStyle w:val="Normal"/>
        <w:ind w:firstLine="567"/>
        <w:jc w:val="both"/>
        <w:rPr>
          <w:rFonts w:eastAsia="Calibri"/>
        </w:rPr>
      </w:pPr>
      <w:r>
        <w:rPr>
          <w:rFonts w:eastAsia="Calibri"/>
        </w:rPr>
        <w:t>а) количества заявок на участие в закупке, окончательных предложений, которые отклонены;</w:t>
      </w:r>
    </w:p>
    <w:p>
      <w:pPr>
        <w:pStyle w:val="Normal"/>
        <w:ind w:firstLine="567"/>
        <w:jc w:val="both"/>
        <w:rPr>
          <w:rFonts w:eastAsia="Calibri"/>
        </w:rPr>
      </w:pPr>
      <w:r>
        <w:rPr>
          <w:rFonts w:eastAsia="Calibri"/>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pPr>
        <w:pStyle w:val="Normal"/>
        <w:ind w:firstLine="567"/>
        <w:jc w:val="both"/>
        <w:rPr>
          <w:rFonts w:eastAsia="Calibri"/>
        </w:rPr>
      </w:pPr>
      <w:r>
        <w:rPr>
          <w:rFonts w:eastAsia="Calibri"/>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pPr>
        <w:pStyle w:val="Normal"/>
        <w:ind w:firstLine="567"/>
        <w:jc w:val="both"/>
        <w:rPr>
          <w:rFonts w:eastAsia="Calibri"/>
        </w:rPr>
      </w:pPr>
      <w:r>
        <w:rPr>
          <w:rFonts w:eastAsia="Calibri"/>
        </w:rPr>
        <w:t>6) причины, по которым закупка признана несостоявшейся, в случае признания ее таковой;</w:t>
      </w:r>
    </w:p>
    <w:p>
      <w:pPr>
        <w:pStyle w:val="Normal"/>
        <w:ind w:firstLine="567"/>
        <w:jc w:val="both"/>
        <w:rPr>
          <w:rFonts w:eastAsia="Calibri"/>
        </w:rPr>
      </w:pPr>
      <w:r>
        <w:rPr>
          <w:rFonts w:eastAsia="Calibri"/>
        </w:rPr>
        <w:t>7) иные сведения в случае, если необходимость их указания в протоколе предусмотрена Положением о закупке.</w:t>
      </w:r>
    </w:p>
    <w:p>
      <w:pPr>
        <w:pStyle w:val="Normal"/>
        <w:ind w:firstLine="567"/>
        <w:jc w:val="center"/>
        <w:rPr>
          <w:b/>
          <w:b/>
          <w:bCs/>
        </w:rPr>
      </w:pPr>
      <w:r>
        <w:rPr>
          <w:b/>
          <w:bCs/>
        </w:rPr>
      </w:r>
    </w:p>
    <w:p>
      <w:pPr>
        <w:pStyle w:val="Normal"/>
        <w:ind w:firstLine="567"/>
        <w:jc w:val="center"/>
        <w:rPr>
          <w:b/>
          <w:b/>
          <w:bCs/>
        </w:rPr>
      </w:pPr>
      <w:r>
        <w:rPr>
          <w:b/>
          <w:bCs/>
        </w:rPr>
      </w:r>
    </w:p>
    <w:p>
      <w:pPr>
        <w:pStyle w:val="Normal"/>
        <w:ind w:firstLine="567"/>
        <w:jc w:val="center"/>
        <w:rPr>
          <w:b/>
          <w:b/>
          <w:bCs/>
        </w:rPr>
      </w:pPr>
      <w:r>
        <w:rPr>
          <w:b/>
          <w:bCs/>
        </w:rPr>
        <w:t xml:space="preserve">8.6. Требования к комиссии по </w:t>
      </w:r>
      <w:r>
        <w:rPr>
          <w:rFonts w:eastAsia="Calibri"/>
          <w:b/>
        </w:rPr>
        <w:t>осуществлению конкурентной</w:t>
      </w:r>
      <w:r>
        <w:rPr>
          <w:rFonts w:eastAsia="Calibri"/>
        </w:rPr>
        <w:t xml:space="preserve"> </w:t>
      </w:r>
      <w:r>
        <w:rPr>
          <w:b/>
          <w:bCs/>
        </w:rPr>
        <w:t>закупки</w:t>
      </w:r>
      <w:bookmarkStart w:id="89" w:name="_Hlk533591361"/>
      <w:bookmarkEnd w:id="89"/>
    </w:p>
    <w:p>
      <w:pPr>
        <w:pStyle w:val="Normal"/>
        <w:ind w:firstLine="567"/>
        <w:jc w:val="center"/>
        <w:rPr>
          <w:b/>
          <w:b/>
          <w:bCs/>
        </w:rPr>
      </w:pPr>
      <w:r>
        <w:rPr>
          <w:b/>
          <w:bCs/>
        </w:rPr>
      </w:r>
    </w:p>
    <w:p>
      <w:pPr>
        <w:pStyle w:val="Normal"/>
        <w:ind w:firstLine="567"/>
        <w:jc w:val="both"/>
        <w:rPr>
          <w:rFonts w:eastAsia="Calibri"/>
        </w:rPr>
      </w:pPr>
      <w:r>
        <w:rPr>
          <w:color w:val="000000"/>
        </w:rPr>
        <w:t>8.6.1. </w:t>
      </w:r>
      <w:r>
        <w:rPr>
          <w:rFonts w:eastAsia="Calibri"/>
        </w:rPr>
        <w:t>Для определения поставщика (исполнителя, подрядчика) по результатам проведения конкурентной закупки заказчик создает постоянно действующую комиссию по закупкам (д</w:t>
      </w:r>
      <w:r>
        <w:rPr>
          <w:color w:val="000000"/>
        </w:rPr>
        <w:t>алее – Комиссия по закупки)</w:t>
      </w:r>
      <w:r>
        <w:rPr>
          <w:rFonts w:eastAsia="Calibri"/>
        </w:rPr>
        <w:t>.</w:t>
      </w:r>
    </w:p>
    <w:p>
      <w:pPr>
        <w:pStyle w:val="Normal"/>
        <w:shd w:val="clear" w:color="auto" w:fill="FFFFFF"/>
        <w:tabs>
          <w:tab w:val="left" w:pos="900" w:leader="none"/>
        </w:tabs>
        <w:ind w:firstLine="567"/>
        <w:jc w:val="both"/>
        <w:rPr/>
      </w:pPr>
      <w:r>
        <w:rPr>
          <w:color w:val="000000"/>
        </w:rPr>
        <w:t xml:space="preserve">Состав Комиссии по закупке утверждается Приказом генерального директора Предприятия или лицом, исполняющим обязанности генерального директора Предприятия. </w:t>
      </w:r>
    </w:p>
    <w:p>
      <w:pPr>
        <w:pStyle w:val="Normal"/>
        <w:ind w:firstLine="567"/>
        <w:jc w:val="both"/>
        <w:rPr/>
      </w:pPr>
      <w:r>
        <w:rPr/>
        <w:t>8.6.2. Работа Комиссии по закупке осуществляется на ее заседаниях в порядке, установленном заказчиком.</w:t>
      </w:r>
    </w:p>
    <w:p>
      <w:pPr>
        <w:pStyle w:val="Normal"/>
        <w:ind w:firstLine="567"/>
        <w:jc w:val="both"/>
        <w:rPr/>
      </w:pPr>
      <w:r>
        <w:rPr/>
        <w:t>Руководство работой Комиссии осуществляет ее председатель.</w:t>
      </w:r>
    </w:p>
    <w:p>
      <w:pPr>
        <w:pStyle w:val="Normal"/>
        <w:ind w:firstLine="567"/>
        <w:jc w:val="both"/>
        <w:rPr/>
      </w:pPr>
      <w:r>
        <w:rPr/>
        <w:t>8.6.3.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по закупке имеет один голос. В случае равенства голосов, решение принимает председатель Комиссии по закупке.</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8.6.4. Организационно-техническое сопровождение работы Комиссии осуществляет секретарь Комиссии.</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Председатель и иные члены Комиссии обязаны:</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 действовать в соответствии с действующим законодательством Российской Федерации и настоящим Положением о закупке;</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 принимать решения на основе принципов справедливого, равного и объективного отношения к участникам закупки.</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Членам Комиссии запрещается:</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 осуществлять действия, направленные на создание преимуществ для одного или нескольких участников закупки;</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 предоставлять третьим лицам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 xml:space="preserve">8.6.5. Решения Комиссии оформляются протоколами. Протоколы подписывают все члены Комиссии, принявшие участие в заседании. </w:t>
      </w:r>
    </w:p>
    <w:p>
      <w:pPr>
        <w:pStyle w:val="Normal"/>
        <w:suppressAutoHyphens w:val="false"/>
        <w:ind w:firstLine="567"/>
        <w:jc w:val="both"/>
        <w:rPr/>
      </w:pPr>
      <w:r>
        <w:rPr/>
        <w:t xml:space="preserve">8.6.6. </w:t>
      </w:r>
      <w:r>
        <w:rPr>
          <w:rFonts w:eastAsia="Calibri" w:eastAsiaTheme="minorHAnsi"/>
          <w:lang w:eastAsia="en-US"/>
        </w:rPr>
        <w:t xml:space="preserve">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w:t>
      </w:r>
      <w:hyperlink r:id="rId83">
        <w:r>
          <w:rPr>
            <w:rStyle w:val="ListLabel8"/>
            <w:rFonts w:eastAsia="Calibri" w:eastAsiaTheme="minorHAnsi"/>
            <w:color w:val="0000FF"/>
            <w:lang w:eastAsia="en-US"/>
          </w:rPr>
          <w:t>законом</w:t>
        </w:r>
      </w:hyperlink>
      <w:r>
        <w:rPr>
          <w:rFonts w:eastAsia="Calibri" w:eastAsiaTheme="minorHAnsi"/>
          <w:lang w:eastAsia="en-US"/>
        </w:rPr>
        <w:t xml:space="preserve"> от 25 декабря 2008 года N 273-ФЗ «О противодействии коррупции»</w:t>
      </w:r>
    </w:p>
    <w:p>
      <w:pPr>
        <w:pStyle w:val="Normal"/>
        <w:suppressAutoHyphens w:val="false"/>
        <w:ind w:firstLine="540"/>
        <w:jc w:val="both"/>
        <w:rPr>
          <w:rFonts w:eastAsia="Calibri" w:eastAsiaTheme="minorHAnsi"/>
          <w:lang w:eastAsia="en-US"/>
        </w:rPr>
      </w:pPr>
      <w:r>
        <w:rPr/>
        <w:t>8.6.7.</w:t>
      </w:r>
      <w:r>
        <w:rPr>
          <w:rFonts w:eastAsia="Calibri" w:eastAsiaTheme="minorHAnsi"/>
          <w:lang w:eastAsia="en-US"/>
        </w:rPr>
        <w:t xml:space="preserve"> Членами комиссии по осуществлению закупок не могут быть:</w:t>
      </w:r>
    </w:p>
    <w:p>
      <w:pPr>
        <w:pStyle w:val="Normal"/>
        <w:suppressAutoHyphens w:val="false"/>
        <w:ind w:firstLine="540"/>
        <w:jc w:val="both"/>
        <w:rPr/>
      </w:pPr>
      <w:r>
        <w:rPr>
          <w:rFonts w:eastAsia="Calibri" w:eastAsiaTheme="minorHAnsi"/>
          <w:lang w:eastAsia="en-US"/>
        </w:rPr>
        <w:t xml:space="preserve">8.6.7.1.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84">
        <w:r>
          <w:rPr>
            <w:rStyle w:val="ListLabel8"/>
            <w:rFonts w:eastAsia="Calibri" w:eastAsiaTheme="minorHAnsi"/>
            <w:color w:val="0000FF"/>
            <w:lang w:eastAsia="en-US"/>
          </w:rPr>
          <w:t>законе</w:t>
        </w:r>
      </w:hyperlink>
      <w:r>
        <w:rPr>
          <w:rFonts w:eastAsia="Calibri" w:eastAsiaTheme="minorHAnsi"/>
          <w:lang w:eastAsia="en-US"/>
        </w:rPr>
        <w:t xml:space="preserve"> от 25 декабря 2008 года N 273-ФЗ "О противодействии коррупции";</w:t>
      </w:r>
    </w:p>
    <w:p>
      <w:pPr>
        <w:pStyle w:val="Normal"/>
        <w:suppressAutoHyphens w:val="false"/>
        <w:ind w:firstLine="540"/>
        <w:jc w:val="both"/>
        <w:rPr>
          <w:rFonts w:eastAsia="Calibri" w:eastAsiaTheme="minorHAnsi"/>
          <w:lang w:eastAsia="en-US"/>
        </w:rPr>
      </w:pPr>
      <w:r>
        <w:rPr>
          <w:rFonts w:eastAsia="Calibri" w:eastAsiaTheme="minorHAnsi"/>
          <w:lang w:eastAsia="en-US"/>
        </w:rPr>
        <w:t>8.6.7.2.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Normal"/>
        <w:suppressAutoHyphens w:val="false"/>
        <w:ind w:firstLine="540"/>
        <w:jc w:val="both"/>
        <w:rPr>
          <w:rFonts w:eastAsia="Calibri" w:eastAsiaTheme="minorHAnsi"/>
          <w:lang w:eastAsia="en-US"/>
        </w:rPr>
      </w:pPr>
      <w:r>
        <w:rPr/>
        <w:t xml:space="preserve">8.6.8. </w:t>
      </w:r>
      <w:r>
        <w:rPr>
          <w:rFonts w:eastAsia="Calibri" w:eastAsiaTheme="minorHAnsi"/>
          <w:lang w:eastAsia="en-US"/>
        </w:rPr>
        <w:t xml:space="preserve">Член комиссии по закупкам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w:t>
      </w:r>
      <w:r>
        <w:rPr/>
        <w:t>8.6.7. Положения о закупке</w:t>
      </w:r>
      <w:r>
        <w:rPr>
          <w:rFonts w:eastAsia="Calibri" w:eastAsiaTheme="minorHAnsi"/>
          <w:lang w:eastAsia="en-US"/>
        </w:rPr>
        <w:t xml:space="preserve">. В случае выявления в составе комиссии по осуществлению закупок физических лиц, указанных в пункте 8.6.7. Положения закупке,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bookmarkStart w:id="90" w:name="_Hlk113438300"/>
      <w:r>
        <w:rPr>
          <w:rFonts w:eastAsia="Calibri" w:eastAsiaTheme="minorHAnsi"/>
          <w:lang w:eastAsia="en-US"/>
        </w:rPr>
        <w:t>пункта 8.6.7. Положения о закупке</w:t>
      </w:r>
      <w:bookmarkEnd w:id="90"/>
      <w:r>
        <w:rPr>
          <w:rFonts w:eastAsia="Calibri" w:eastAsiaTheme="minorHAnsi"/>
          <w:lang w:eastAsia="en-US"/>
        </w:rPr>
        <w:t>.</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567"/>
        <w:jc w:val="both"/>
        <w:rPr/>
      </w:pPr>
      <w:r>
        <w:rPr/>
      </w:r>
    </w:p>
    <w:p>
      <w:pPr>
        <w:pStyle w:val="Normal"/>
        <w:ind w:firstLine="567"/>
        <w:jc w:val="center"/>
        <w:rPr>
          <w:b/>
          <w:b/>
          <w:bCs/>
        </w:rPr>
      </w:pPr>
      <w:r>
        <w:rPr>
          <w:b/>
          <w:bCs/>
        </w:rPr>
        <w:t>9. ПОРЯДОК ПРОВЕДЕНИЯ КОНКУРСА</w:t>
      </w:r>
    </w:p>
    <w:p>
      <w:pPr>
        <w:pStyle w:val="Normal"/>
        <w:ind w:firstLine="567"/>
        <w:jc w:val="center"/>
        <w:rPr>
          <w:b/>
          <w:b/>
          <w:bCs/>
        </w:rPr>
      </w:pPr>
      <w:r>
        <w:rPr>
          <w:b/>
          <w:bCs/>
        </w:rPr>
      </w:r>
    </w:p>
    <w:p>
      <w:pPr>
        <w:pStyle w:val="Normal"/>
        <w:ind w:firstLine="567"/>
        <w:jc w:val="center"/>
        <w:rPr>
          <w:b/>
          <w:b/>
          <w:bCs/>
        </w:rPr>
      </w:pPr>
      <w:r>
        <w:rPr>
          <w:b/>
          <w:bCs/>
        </w:rPr>
        <w:t>9.1. Общий порядок проведения открытого конкурса</w:t>
      </w:r>
    </w:p>
    <w:p>
      <w:pPr>
        <w:pStyle w:val="Normal"/>
        <w:spacing w:before="0" w:after="0"/>
        <w:ind w:firstLine="567"/>
        <w:contextualSpacing/>
        <w:jc w:val="both"/>
        <w:rPr>
          <w:rFonts w:eastAsia="Calibri"/>
          <w:highlight w:val="yellow"/>
        </w:rPr>
      </w:pPr>
      <w:r>
        <w:rPr>
          <w:rFonts w:eastAsia="Calibri"/>
          <w:highlight w:val="yellow"/>
        </w:rPr>
      </w:r>
      <w:bookmarkStart w:id="91" w:name="_Hlk533591421"/>
      <w:bookmarkStart w:id="92" w:name="_Hlk533591421"/>
      <w:bookmarkEnd w:id="92"/>
    </w:p>
    <w:p>
      <w:pPr>
        <w:pStyle w:val="Normal"/>
        <w:spacing w:before="0" w:after="0"/>
        <w:ind w:firstLine="567"/>
        <w:contextualSpacing/>
        <w:jc w:val="both"/>
        <w:rPr>
          <w:rFonts w:eastAsia="Calibri"/>
        </w:rPr>
      </w:pPr>
      <w:r>
        <w:rPr>
          <w:rFonts w:eastAsia="Calibri"/>
        </w:rPr>
        <w:t>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pPr>
        <w:pStyle w:val="Normal"/>
        <w:spacing w:before="0" w:after="0"/>
        <w:ind w:firstLine="567"/>
        <w:contextualSpacing/>
        <w:jc w:val="both"/>
        <w:rPr>
          <w:b/>
          <w:b/>
          <w:bCs/>
        </w:rPr>
      </w:pPr>
      <w:r>
        <w:rPr>
          <w:rFonts w:eastAsia="Calibri"/>
        </w:rPr>
        <w:t>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pPr>
        <w:pStyle w:val="Normal"/>
        <w:spacing w:before="0" w:after="0"/>
        <w:ind w:firstLine="567"/>
        <w:contextualSpacing/>
        <w:jc w:val="both"/>
        <w:rPr/>
      </w:pPr>
      <w:r>
        <w:rPr/>
        <w:t>9.1.1. В целях закупки товаров, работ, услуг путем проведения открытого конкурса необходимо:</w:t>
      </w:r>
    </w:p>
    <w:p>
      <w:pPr>
        <w:pStyle w:val="Normal"/>
        <w:spacing w:before="0" w:after="0"/>
        <w:ind w:firstLine="567"/>
        <w:contextualSpacing/>
        <w:jc w:val="both"/>
        <w:rPr/>
      </w:pPr>
      <w:r>
        <w:rPr/>
        <w:t>9.1.1.1. разработать и разместить в единой информационной системе извещение о проведении открытого конкурса, конкурсную документацию, проект договора;</w:t>
      </w:r>
    </w:p>
    <w:p>
      <w:pPr>
        <w:pStyle w:val="Normal"/>
        <w:spacing w:before="0" w:after="0"/>
        <w:ind w:firstLine="567"/>
        <w:contextualSpacing/>
        <w:jc w:val="both"/>
        <w:rPr/>
      </w:pPr>
      <w:r>
        <w:rPr/>
        <w:t>9.1.1.2. в случае получения от претендента запроса на разъяснение положений конкурсной документации, предоставлять необходимые разъяснения;</w:t>
      </w:r>
    </w:p>
    <w:p>
      <w:pPr>
        <w:pStyle w:val="Normal"/>
        <w:spacing w:before="0" w:after="0"/>
        <w:ind w:firstLine="567"/>
        <w:contextualSpacing/>
        <w:jc w:val="both"/>
        <w:rPr/>
      </w:pPr>
      <w:r>
        <w:rPr/>
        <w:t>9.1.1.3. при необходимости вносить изменения в извещение о проведении открытого конкурса, конкурсную документацию;</w:t>
      </w:r>
    </w:p>
    <w:p>
      <w:pPr>
        <w:pStyle w:val="Normal"/>
        <w:spacing w:before="0" w:after="0"/>
        <w:ind w:firstLine="567"/>
        <w:contextualSpacing/>
        <w:jc w:val="both"/>
        <w:rPr/>
      </w:pPr>
      <w:r>
        <w:rPr/>
        <w:t>9.1.1.4. принимать все конкурсные заявки, поданные в срок и в порядке, установленные в конкурсной документации;</w:t>
      </w:r>
    </w:p>
    <w:p>
      <w:pPr>
        <w:pStyle w:val="Normal"/>
        <w:spacing w:before="0" w:after="0"/>
        <w:ind w:firstLine="567"/>
        <w:contextualSpacing/>
        <w:jc w:val="both"/>
        <w:rPr/>
      </w:pPr>
      <w:r>
        <w:rPr/>
        <w:t>9.1.1.5. осуществлять публичное вскрытие конвертов с конкурсными заявками;</w:t>
      </w:r>
    </w:p>
    <w:p>
      <w:pPr>
        <w:pStyle w:val="Normal"/>
        <w:spacing w:before="0" w:after="0"/>
        <w:ind w:firstLine="567"/>
        <w:contextualSpacing/>
        <w:jc w:val="both"/>
        <w:rPr/>
      </w:pPr>
      <w:r>
        <w:rPr/>
        <w:t>9.1.1.6. рассмотреть, оценить и сопоставить конкурсные заявки в целях определения победителя конкурса;</w:t>
      </w:r>
    </w:p>
    <w:p>
      <w:pPr>
        <w:pStyle w:val="Normal"/>
        <w:spacing w:before="0" w:after="0"/>
        <w:ind w:firstLine="567"/>
        <w:contextualSpacing/>
        <w:jc w:val="both"/>
        <w:rPr/>
      </w:pPr>
      <w:r>
        <w:rPr/>
        <w:t>9.1.1.7. разместить в единой информационной системе протоколы, составленные по результатам заседаний комиссии по закупке;</w:t>
      </w:r>
    </w:p>
    <w:p>
      <w:pPr>
        <w:pStyle w:val="Normal"/>
        <w:spacing w:before="0" w:after="0"/>
        <w:ind w:firstLine="567"/>
        <w:contextualSpacing/>
        <w:jc w:val="both"/>
        <w:rPr/>
      </w:pPr>
      <w:r>
        <w:rPr/>
        <w:t>9.1.1.8. заключить договор по результатам закупки.</w:t>
      </w:r>
    </w:p>
    <w:p>
      <w:pPr>
        <w:pStyle w:val="Normal"/>
        <w:tabs>
          <w:tab w:val="left" w:pos="2832" w:leader="none"/>
        </w:tabs>
        <w:ind w:firstLine="567"/>
        <w:rPr>
          <w:b/>
          <w:b/>
          <w:bCs/>
        </w:rPr>
      </w:pPr>
      <w:r>
        <w:rPr>
          <w:b/>
          <w:bCs/>
        </w:rPr>
        <w:tab/>
      </w:r>
    </w:p>
    <w:p>
      <w:pPr>
        <w:pStyle w:val="Normal"/>
        <w:ind w:firstLine="567"/>
        <w:jc w:val="center"/>
        <w:rPr>
          <w:b/>
          <w:b/>
          <w:bCs/>
        </w:rPr>
      </w:pPr>
      <w:r>
        <w:rPr>
          <w:b/>
          <w:bCs/>
        </w:rPr>
        <w:t>9.2. Извещение о проведении открытого конкурса</w:t>
      </w:r>
      <w:bookmarkStart w:id="93" w:name="_Hlk533591441"/>
      <w:bookmarkEnd w:id="93"/>
    </w:p>
    <w:p>
      <w:pPr>
        <w:pStyle w:val="Normal"/>
        <w:ind w:firstLine="567"/>
        <w:jc w:val="both"/>
        <w:rPr>
          <w:b/>
          <w:b/>
          <w:bCs/>
        </w:rPr>
      </w:pPr>
      <w:r>
        <w:rPr>
          <w:b/>
          <w:bCs/>
        </w:rPr>
      </w:r>
    </w:p>
    <w:p>
      <w:pPr>
        <w:pStyle w:val="Normal"/>
        <w:ind w:firstLine="567"/>
        <w:jc w:val="both"/>
        <w:rPr/>
      </w:pPr>
      <w:r>
        <w:rPr/>
        <w:t xml:space="preserve">9.2.1. Заказчик не менее чем за пятнадцать дней до </w:t>
      </w:r>
      <w:r>
        <w:rPr>
          <w:rFonts w:eastAsia="Calibri"/>
        </w:rPr>
        <w:t>даты окончания срока подачи заявок</w:t>
      </w:r>
      <w:r>
        <w:rPr/>
        <w:t xml:space="preserve"> размещает в единой информационной системе извещение о проведении открытого конкурса. Извещение о проведении открытого конкурса является неотъемлемой частью конкурсной документации.</w:t>
      </w:r>
    </w:p>
    <w:p>
      <w:pPr>
        <w:pStyle w:val="Normal"/>
        <w:ind w:firstLine="567"/>
        <w:jc w:val="both"/>
        <w:rPr/>
      </w:pPr>
      <w:r>
        <w:rPr/>
        <w:t>9.2.2. В извещении о проведении открытого конкурса должны быть указаны сведения в соответствии с п. 8.3.1 настоящего Положения. а также:</w:t>
      </w:r>
    </w:p>
    <w:p>
      <w:pPr>
        <w:pStyle w:val="Normal"/>
        <w:spacing w:before="0" w:after="0"/>
        <w:ind w:firstLine="567"/>
        <w:contextualSpacing/>
        <w:jc w:val="both"/>
        <w:rPr/>
      </w:pPr>
      <w:r>
        <w:rPr/>
        <w:t>9.2.2.1. размер обеспечения заявки, способ, срок и порядок внесения, реквизиты счета (в случае, если это предусмотрено заказчиком).</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9.2.2.2. 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9.2.2.3. 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Сведения в извещении должны соответствовать сведениям, указанным в конкурсной документации.</w:t>
      </w:r>
      <w:bookmarkStart w:id="94" w:name="P537"/>
      <w:bookmarkEnd w:id="94"/>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9.2.3.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извещение о проведении открытого конкурса. Не позднее трех дней со дня принятия решения о необходимости внесения изменений в извещение о проведении открытого конкурса такие изменения размещаются заказчиком в единой информационной системе Изменение предмета конкурса не допускается.</w:t>
      </w:r>
    </w:p>
    <w:p>
      <w:pPr>
        <w:pStyle w:val="Normal"/>
        <w:ind w:firstLine="567"/>
        <w:jc w:val="both"/>
        <w:rPr/>
      </w:pPr>
      <w:r>
        <w:rPr/>
        <w:t xml:space="preserve">9.2.3.1. В результате внесения указанных изменений срок подачи заявок на участие в открытом конкурсе должен быть продлен так,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rPr>
            <w:rStyle w:val="ListLabel5"/>
          </w:rPr>
          <w:t xml:space="preserve">пункте </w:t>
        </w:r>
      </w:hyperlink>
      <w:r>
        <w:rPr/>
        <w:t>9.1 настоящего Положения.</w:t>
      </w:r>
    </w:p>
    <w:p>
      <w:pPr>
        <w:pStyle w:val="Normal"/>
        <w:ind w:firstLine="567"/>
        <w:jc w:val="both"/>
        <w:rPr>
          <w:b/>
          <w:b/>
          <w:bCs/>
        </w:rPr>
      </w:pPr>
      <w:r>
        <w:rPr>
          <w:b/>
          <w:bCs/>
        </w:rPr>
      </w:r>
    </w:p>
    <w:p>
      <w:pPr>
        <w:pStyle w:val="Normal"/>
        <w:ind w:firstLine="567"/>
        <w:jc w:val="center"/>
        <w:rPr>
          <w:b/>
          <w:b/>
          <w:bCs/>
        </w:rPr>
      </w:pPr>
      <w:r>
        <w:rPr>
          <w:b/>
          <w:bCs/>
        </w:rPr>
      </w:r>
    </w:p>
    <w:p>
      <w:pPr>
        <w:pStyle w:val="Normal"/>
        <w:ind w:firstLine="567"/>
        <w:jc w:val="center"/>
        <w:rPr>
          <w:b/>
          <w:b/>
          <w:bCs/>
        </w:rPr>
      </w:pPr>
      <w:r>
        <w:rPr>
          <w:b/>
          <w:bCs/>
        </w:rPr>
        <w:t>9.3. Конкурсная документация</w:t>
      </w:r>
    </w:p>
    <w:p>
      <w:pPr>
        <w:pStyle w:val="Normal"/>
        <w:ind w:firstLine="567"/>
        <w:jc w:val="center"/>
        <w:rPr>
          <w:b/>
          <w:b/>
          <w:bCs/>
        </w:rPr>
      </w:pPr>
      <w:r>
        <w:rPr>
          <w:b/>
          <w:bCs/>
        </w:rPr>
      </w:r>
      <w:bookmarkStart w:id="95" w:name="_Hlk533591460"/>
      <w:bookmarkStart w:id="96" w:name="_Hlk533591460"/>
      <w:bookmarkEnd w:id="96"/>
    </w:p>
    <w:p>
      <w:pPr>
        <w:pStyle w:val="Normal"/>
        <w:ind w:firstLine="567"/>
        <w:jc w:val="both"/>
        <w:rPr/>
      </w:pPr>
      <w:r>
        <w:rPr/>
        <w:t>9.3.1. Заказчик одновременно с размещением извещения о проведении открытого конкурса размещает в единой информационной системе конкурсную документацию.</w:t>
      </w:r>
    </w:p>
    <w:p>
      <w:pPr>
        <w:pStyle w:val="Normal"/>
        <w:ind w:firstLine="567"/>
        <w:jc w:val="both"/>
        <w:rPr/>
      </w:pPr>
      <w:r>
        <w:rPr/>
        <w:t>9.3.1.1. Сведения, содержащиеся в конкурсной документации, должны соответствовать сведениям, указанным в извещении о проведении открытого конкурса.</w:t>
      </w:r>
    </w:p>
    <w:p>
      <w:pPr>
        <w:pStyle w:val="Normal"/>
        <w:ind w:firstLine="567"/>
        <w:jc w:val="both"/>
        <w:rPr/>
      </w:pPr>
      <w:r>
        <w:rPr/>
        <w:t>9.3.2. В конкурсной документации должны быть указаны сведения в соответствии с пунктом 8.4 настоящего Положения, а также могут быть указаны:</w:t>
      </w:r>
    </w:p>
    <w:p>
      <w:pPr>
        <w:pStyle w:val="Normal"/>
        <w:ind w:firstLine="567"/>
        <w:jc w:val="both"/>
        <w:rPr/>
      </w:pPr>
      <w:r>
        <w:rPr/>
        <w:t>9.3.2.1.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pPr>
        <w:pStyle w:val="Normal"/>
        <w:ind w:firstLine="567"/>
        <w:jc w:val="both"/>
        <w:rPr/>
      </w:pPr>
      <w:r>
        <w:rPr/>
        <w:t>9.3.2.2. сведения о валюте, используемой для формирования цены договора и расчетов с поставщиками (исполнителями, подрядчиками);</w:t>
      </w:r>
    </w:p>
    <w:p>
      <w:pPr>
        <w:pStyle w:val="Normal"/>
        <w:ind w:firstLine="567"/>
        <w:jc w:val="both"/>
        <w:rPr/>
      </w:pPr>
      <w:r>
        <w:rPr/>
        <w:t>9.3.2.3. порядок применения официального курса иностранной валюты к рублю РФ, установленного ЦБ РФ и используемого при оплате заключенного договора (при необходимости);</w:t>
      </w:r>
    </w:p>
    <w:p>
      <w:pPr>
        <w:pStyle w:val="Normal"/>
        <w:ind w:firstLine="567"/>
        <w:jc w:val="both"/>
        <w:rPr>
          <w:color w:val="FF0000"/>
        </w:rPr>
      </w:pPr>
      <w:r>
        <w:rPr/>
        <w:t>9.3.2.4. размер обеспечения исполнения договора, срок и порядок его предоставления (при необходимости);</w:t>
      </w:r>
    </w:p>
    <w:p>
      <w:pPr>
        <w:pStyle w:val="Normal"/>
        <w:ind w:firstLine="567"/>
        <w:jc w:val="both"/>
        <w:rPr/>
      </w:pPr>
      <w:r>
        <w:rPr/>
        <w:t>9.3.2.5.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ind w:firstLine="567"/>
        <w:jc w:val="both"/>
        <w:rPr/>
      </w:pPr>
      <w:r>
        <w:rPr/>
        <w:t>9.3.2.6. сведения о возможности заказчика заключить договор с несколькими участниками закупок (при необходимости);</w:t>
      </w:r>
    </w:p>
    <w:p>
      <w:pPr>
        <w:pStyle w:val="Normal"/>
        <w:ind w:firstLine="567"/>
        <w:jc w:val="both"/>
        <w:rPr/>
      </w:pPr>
      <w:r>
        <w:rPr/>
        <w:t>9.3.2.7. порядок и срок отзыва конкурсных заявок, порядок внесения изменений в такие заявки;</w:t>
      </w:r>
    </w:p>
    <w:p>
      <w:pPr>
        <w:pStyle w:val="Normal"/>
        <w:ind w:firstLine="567"/>
        <w:jc w:val="both"/>
        <w:rPr/>
      </w:pPr>
      <w:r>
        <w:rPr/>
        <w:t>9.3.2.8. срок подписания договора победителем, иными участниками закупки (при необходимости);</w:t>
      </w:r>
    </w:p>
    <w:p>
      <w:pPr>
        <w:pStyle w:val="Normal"/>
        <w:tabs>
          <w:tab w:val="left" w:pos="8204" w:leader="none"/>
        </w:tabs>
        <w:ind w:firstLine="567"/>
        <w:jc w:val="both"/>
        <w:rPr/>
      </w:pPr>
      <w:r>
        <w:rPr/>
        <w:t>9.3.2.9. последствия признания конкурса несостоявшимся;</w:t>
        <w:tab/>
      </w:r>
    </w:p>
    <w:p>
      <w:pPr>
        <w:pStyle w:val="Normal"/>
        <w:ind w:firstLine="567"/>
        <w:jc w:val="both"/>
        <w:rPr/>
      </w:pPr>
      <w:r>
        <w:rPr/>
        <w:t>9.3.2.10. указание на возможность проведения переторжки (при необходимости);</w:t>
      </w:r>
    </w:p>
    <w:p>
      <w:pPr>
        <w:pStyle w:val="Normal"/>
        <w:ind w:firstLine="567"/>
        <w:jc w:val="both"/>
        <w:rPr/>
      </w:pPr>
      <w:r>
        <w:rPr/>
        <w:t>9.3.2.11. требования к наличию в штате сотрудников, обладающих необходимыми профессиональными знаниями и квалификацией (при необходимости, в зависимости от специфики договора);</w:t>
      </w:r>
    </w:p>
    <w:p>
      <w:pPr>
        <w:pStyle w:val="Normal"/>
        <w:ind w:firstLine="567"/>
        <w:jc w:val="both"/>
        <w:rPr/>
      </w:pPr>
      <w:r>
        <w:rPr/>
        <w:t>9.3.2.12. требования к наличию соответствующего оборудования и других материальных ресурсов (при необходимости, в зависимости от специфики договора);</w:t>
      </w:r>
    </w:p>
    <w:p>
      <w:pPr>
        <w:pStyle w:val="Normal"/>
        <w:ind w:firstLine="567"/>
        <w:jc w:val="both"/>
        <w:rPr/>
      </w:pPr>
      <w:r>
        <w:rPr/>
        <w:t>9.3.2.13. иные сведения и требования в зависимости от предмета закупки (при необходимости).</w:t>
      </w:r>
    </w:p>
    <w:p>
      <w:pPr>
        <w:pStyle w:val="Normal"/>
        <w:ind w:firstLine="567"/>
        <w:jc w:val="both"/>
        <w:rPr/>
      </w:pPr>
      <w:r>
        <w:rPr/>
        <w:t>9.3.3. К извещению о проведении открытого конкурса и конкурсной документации должен прилагаться 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pPr>
        <w:pStyle w:val="Normal"/>
        <w:ind w:firstLine="567"/>
        <w:jc w:val="both"/>
        <w:rPr/>
      </w:pPr>
      <w:r>
        <w:rPr/>
        <w:t>9.3.4. Предоставление конкурсной документации до размещения в единой информационной системе извещения о проведении открытого конкурса не допускается.</w:t>
      </w:r>
    </w:p>
    <w:p>
      <w:pPr>
        <w:pStyle w:val="Normal"/>
        <w:ind w:firstLine="567"/>
        <w:jc w:val="both"/>
        <w:rPr>
          <w:color w:val="FF0000"/>
        </w:rPr>
      </w:pPr>
      <w:r>
        <w:rPr/>
        <w:t>9.3.5.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в единой информационной системе</w:t>
      </w:r>
      <w:r>
        <w:rPr>
          <w:color w:val="FF0000"/>
        </w:rPr>
        <w:t xml:space="preserve"> </w:t>
      </w:r>
    </w:p>
    <w:p>
      <w:pPr>
        <w:pStyle w:val="Normal"/>
        <w:ind w:firstLine="567"/>
        <w:jc w:val="both"/>
        <w:rPr/>
      </w:pPr>
      <w:r>
        <w:rPr/>
        <w:t xml:space="preserve">9.3.5.1. В результате внесения указанных изменений срок подачи заявок на участие в открытом конкурсе должен быть продлен так,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rPr>
            <w:rStyle w:val="ListLabel5"/>
          </w:rPr>
          <w:t xml:space="preserve">пункте </w:t>
        </w:r>
      </w:hyperlink>
      <w:r>
        <w:rPr/>
        <w:t>9.1 настоящего Положения.</w:t>
      </w:r>
    </w:p>
    <w:p>
      <w:pPr>
        <w:pStyle w:val="Normal"/>
        <w:ind w:firstLine="567"/>
        <w:jc w:val="both"/>
        <w:rPr/>
      </w:pPr>
      <w:r>
        <w:rPr/>
        <w:t>9.3.5.2. Любой претендент вправе направить заказчику запрос разъяснений положений конкурсной документации в письменной форме в срок не позднее чем за 7 рабочих дней до дня окончания подачи конкурсных заявок. Заказчик в течение 2 дней со дня поступления запроса на разъяснение положений конкурсной документации направляет по электронной почте или иным способом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w:t>
      </w:r>
    </w:p>
    <w:p>
      <w:pPr>
        <w:pStyle w:val="Normal"/>
        <w:tabs>
          <w:tab w:val="left" w:pos="6982" w:leader="none"/>
        </w:tabs>
        <w:ind w:firstLine="567"/>
        <w:jc w:val="both"/>
        <w:rPr/>
      </w:pPr>
      <w:r>
        <w:rPr/>
        <w:tab/>
      </w:r>
    </w:p>
    <w:p>
      <w:pPr>
        <w:pStyle w:val="Normal"/>
        <w:ind w:firstLine="567"/>
        <w:jc w:val="center"/>
        <w:rPr>
          <w:b/>
          <w:b/>
          <w:bCs/>
        </w:rPr>
      </w:pPr>
      <w:r>
        <w:rPr>
          <w:b/>
          <w:bCs/>
        </w:rPr>
        <w:t>9.4. Отказ от проведения конкурса</w:t>
      </w:r>
      <w:bookmarkStart w:id="97" w:name="_Hlk533591491"/>
      <w:bookmarkEnd w:id="97"/>
    </w:p>
    <w:p>
      <w:pPr>
        <w:pStyle w:val="Normal"/>
        <w:tabs>
          <w:tab w:val="left" w:pos="2686" w:leader="none"/>
        </w:tabs>
        <w:ind w:firstLine="567"/>
        <w:rPr>
          <w:b/>
          <w:b/>
          <w:bCs/>
        </w:rPr>
      </w:pPr>
      <w:r>
        <w:rPr>
          <w:b/>
          <w:bCs/>
        </w:rPr>
        <w:tab/>
      </w:r>
    </w:p>
    <w:p>
      <w:pPr>
        <w:pStyle w:val="Normal"/>
        <w:ind w:firstLine="567"/>
        <w:jc w:val="both"/>
        <w:rPr/>
      </w:pPr>
      <w:r>
        <w:rPr/>
        <w:t xml:space="preserve">9.4.1. Заказчик вправе принять решение об отказе от проведения открытого конкурса по одному и более предмету закупки (лоту) до наступления даты и времени окончания срока подачи заявок на участие в закупке. </w:t>
      </w:r>
    </w:p>
    <w:p>
      <w:pPr>
        <w:pStyle w:val="ConsPlusNormal2"/>
        <w:spacing w:before="220" w:after="0"/>
        <w:ind w:firstLine="567"/>
        <w:jc w:val="both"/>
        <w:rPr>
          <w:rFonts w:ascii="Times New Roman" w:hAnsi="Times New Roman" w:cs="Times New Roman"/>
          <w:sz w:val="24"/>
          <w:szCs w:val="24"/>
        </w:rPr>
      </w:pPr>
      <w:r>
        <w:rPr>
          <w:rFonts w:cs="Times New Roman"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pPr>
        <w:pStyle w:val="Normal"/>
        <w:ind w:firstLine="567"/>
        <w:jc w:val="both"/>
        <w:rPr/>
      </w:pPr>
      <w:r>
        <w:rPr/>
      </w:r>
    </w:p>
    <w:p>
      <w:pPr>
        <w:pStyle w:val="Normal"/>
        <w:ind w:firstLine="567"/>
        <w:jc w:val="both"/>
        <w:rPr>
          <w:color w:val="FF0000"/>
        </w:rPr>
      </w:pPr>
      <w:r>
        <w:rPr/>
        <w:t>9.4.2. В случае принятия решения об отказе от проведения открытого конкурса, заказчик в день принятия такого решения размещает сведения об отказе от проведения открытого конкурса в единой информационной системе и в течение трех дней направляет по электронной почте уведомления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конкурса.</w:t>
      </w:r>
    </w:p>
    <w:p>
      <w:pPr>
        <w:pStyle w:val="Normal"/>
        <w:ind w:firstLine="567"/>
        <w:jc w:val="center"/>
        <w:rPr>
          <w:b/>
          <w:b/>
          <w:bCs/>
        </w:rPr>
      </w:pPr>
      <w:r>
        <w:rPr>
          <w:b/>
          <w:bCs/>
        </w:rPr>
      </w:r>
    </w:p>
    <w:p>
      <w:pPr>
        <w:pStyle w:val="Normal"/>
        <w:ind w:firstLine="567"/>
        <w:jc w:val="center"/>
        <w:rPr>
          <w:b/>
          <w:b/>
          <w:bCs/>
        </w:rPr>
      </w:pPr>
      <w:r>
        <w:rPr>
          <w:b/>
          <w:bCs/>
        </w:rPr>
        <w:t>9.5. Требования к конкурсной заявке</w:t>
      </w:r>
      <w:bookmarkStart w:id="98" w:name="_Hlk533591514"/>
      <w:bookmarkEnd w:id="98"/>
    </w:p>
    <w:p>
      <w:pPr>
        <w:pStyle w:val="Normal"/>
        <w:ind w:firstLine="567"/>
        <w:jc w:val="center"/>
        <w:rPr>
          <w:b/>
          <w:b/>
          <w:bCs/>
        </w:rPr>
      </w:pPr>
      <w:r>
        <w:rPr>
          <w:b/>
          <w:bCs/>
        </w:rPr>
      </w:r>
    </w:p>
    <w:p>
      <w:pPr>
        <w:pStyle w:val="ConsPlusNormal2"/>
        <w:ind w:firstLine="567"/>
        <w:jc w:val="both"/>
        <w:rPr>
          <w:rFonts w:ascii="Times New Roman" w:hAnsi="Times New Roman" w:cs="Times New Roman"/>
          <w:sz w:val="24"/>
          <w:szCs w:val="24"/>
        </w:rPr>
      </w:pPr>
      <w:r>
        <w:rPr>
          <w:rFonts w:cs="Times New Roman" w:ascii="Times New Roman" w:hAnsi="Times New Roman"/>
          <w:sz w:val="24"/>
          <w:szCs w:val="24"/>
        </w:rPr>
        <w:t>9.5.1. Для участия в конкурсе претендент должен подготовить конкурсную заявку, оформленную в полном соответствии с требованиями конкурсной документации.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pPr>
        <w:pStyle w:val="Normal"/>
        <w:ind w:firstLine="567"/>
        <w:jc w:val="both"/>
        <w:rPr/>
      </w:pPr>
      <w:r>
        <w:rPr/>
        <w:t>9.5.2. Заявка на участие в конкурсе в обязательном порядке должна содержать:</w:t>
      </w:r>
    </w:p>
    <w:p>
      <w:pPr>
        <w:pStyle w:val="Normal"/>
        <w:ind w:firstLine="567"/>
        <w:jc w:val="both"/>
        <w:rPr/>
      </w:pPr>
      <w:r>
        <w:rPr/>
        <w:t>9.5.2.1. для юридического лица:</w:t>
      </w:r>
    </w:p>
    <w:p>
      <w:pPr>
        <w:pStyle w:val="Normal"/>
        <w:ind w:firstLine="567"/>
        <w:jc w:val="both"/>
        <w:rPr/>
      </w:pPr>
      <w:r>
        <w:rPr/>
        <w:t>а) заполненную форму конкурсной заявки в соответствии с требованиями конкурсной документации (оригинал);</w:t>
      </w:r>
    </w:p>
    <w:p>
      <w:pPr>
        <w:pStyle w:val="Normal"/>
        <w:ind w:firstLine="567"/>
        <w:jc w:val="both"/>
        <w:rPr/>
      </w:pPr>
      <w:r>
        <w:rPr/>
        <w:t>б) анкету юридического лица по установленной в конкурсной документации форме (оригинал);</w:t>
      </w:r>
    </w:p>
    <w:p>
      <w:pPr>
        <w:pStyle w:val="Normal"/>
        <w:ind w:firstLine="567"/>
        <w:jc w:val="both"/>
        <w:rPr/>
      </w:pPr>
      <w:r>
        <w:rPr/>
        <w:t>в) копии учредительных документов с приложением имеющихся изменений;</w:t>
      </w:r>
    </w:p>
    <w:p>
      <w:pPr>
        <w:pStyle w:val="Normal"/>
        <w:ind w:firstLine="567"/>
        <w:jc w:val="both"/>
        <w:rPr/>
      </w:pPr>
      <w:r>
        <w:rPr/>
        <w:t>г) выписку из единого государственного реестра юридических лиц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открытого конкурса;</w:t>
      </w:r>
    </w:p>
    <w:p>
      <w:pPr>
        <w:pStyle w:val="Normal"/>
        <w:ind w:firstLine="567"/>
        <w:jc w:val="both"/>
        <w:rPr/>
      </w:pPr>
      <w:r>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конкурсной заявки, обеспечения исполнения договора является крупной сделкой;</w:t>
      </w:r>
    </w:p>
    <w:p>
      <w:pPr>
        <w:pStyle w:val="Normal"/>
        <w:spacing w:before="0" w:after="0"/>
        <w:ind w:firstLine="567"/>
        <w:contextualSpacing/>
        <w:jc w:val="both"/>
        <w:rPr>
          <w:rFonts w:eastAsia="Calibri"/>
        </w:rPr>
      </w:pPr>
      <w:r>
        <w:rPr/>
        <w:t xml:space="preserve">е) </w:t>
      </w:r>
      <w:r>
        <w:rPr>
          <w:rFonts w:eastAsia="Calibri"/>
        </w:rPr>
        <w:t>документ, декларирующий следующее:</w:t>
      </w:r>
    </w:p>
    <w:p>
      <w:pPr>
        <w:pStyle w:val="Normal"/>
        <w:spacing w:before="0" w:after="0"/>
        <w:ind w:firstLine="567"/>
        <w:contextualSpacing/>
        <w:jc w:val="both"/>
        <w:rPr>
          <w:rFonts w:eastAsia="Calibri"/>
        </w:rPr>
      </w:pPr>
      <w:r>
        <w:rPr>
          <w:rFonts w:eastAsia="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Normal"/>
        <w:spacing w:before="0" w:after="0"/>
        <w:ind w:firstLine="567"/>
        <w:contextualSpacing/>
        <w:jc w:val="both"/>
        <w:rPr/>
      </w:pPr>
      <w:r>
        <w:rPr>
          <w:rFonts w:eastAsia="Calibri"/>
        </w:rPr>
        <w:t xml:space="preserve">- на день подачи заявки деятельность участника закупки не приостановлена в порядке, предусмотренном </w:t>
      </w:r>
      <w:hyperlink r:id="rId85">
        <w:r>
          <w:rPr>
            <w:rStyle w:val="ListLabel2"/>
            <w:rFonts w:eastAsia="Calibri"/>
          </w:rPr>
          <w:t>Кодексом</w:t>
        </w:r>
      </w:hyperlink>
      <w:r>
        <w:rPr>
          <w:rFonts w:eastAsia="Calibri"/>
        </w:rPr>
        <w:t xml:space="preserve"> РФ об административных правонарушениях;</w:t>
      </w:r>
    </w:p>
    <w:p>
      <w:pPr>
        <w:pStyle w:val="Normal"/>
        <w:spacing w:before="0" w:after="0"/>
        <w:ind w:firstLine="567"/>
        <w:contextualSpacing/>
        <w:jc w:val="both"/>
        <w:rPr>
          <w:rFonts w:eastAsia="Calibri"/>
        </w:rPr>
      </w:pPr>
      <w:r>
        <w:rPr>
          <w:rFonts w:eastAsia="Calibri"/>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Normal"/>
        <w:spacing w:before="0" w:after="0"/>
        <w:ind w:firstLine="567"/>
        <w:contextualSpacing/>
        <w:jc w:val="both"/>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86">
        <w:r>
          <w:rPr>
            <w:rStyle w:val="ListLabel2"/>
            <w:rFonts w:eastAsia="Calibri"/>
          </w:rPr>
          <w:t>Законом</w:t>
        </w:r>
      </w:hyperlink>
      <w:r>
        <w:rPr>
          <w:rFonts w:eastAsia="Calibri"/>
        </w:rPr>
        <w:t xml:space="preserve"> N 223-ФЗ и </w:t>
      </w:r>
      <w:hyperlink r:id="rId87">
        <w:r>
          <w:rPr>
            <w:rStyle w:val="ListLabel2"/>
            <w:rFonts w:eastAsia="Calibri"/>
          </w:rPr>
          <w:t>Законом</w:t>
        </w:r>
      </w:hyperlink>
      <w:r>
        <w:rPr>
          <w:rFonts w:eastAsia="Calibri"/>
        </w:rPr>
        <w:t xml:space="preserve"> N 44-ФЗ;</w:t>
      </w:r>
    </w:p>
    <w:p>
      <w:pPr>
        <w:pStyle w:val="Normal"/>
        <w:spacing w:before="0" w:after="0"/>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Normal"/>
        <w:spacing w:before="0" w:after="0"/>
        <w:ind w:firstLine="567"/>
        <w:contextualSpacing/>
        <w:jc w:val="both"/>
        <w:rPr/>
      </w:pPr>
      <w:r>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pPr>
        <w:pStyle w:val="Normal"/>
        <w:ind w:firstLine="567"/>
        <w:jc w:val="both"/>
        <w:rPr/>
      </w:pPr>
      <w:r>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pPr>
        <w:pStyle w:val="Normal"/>
        <w:ind w:firstLine="567"/>
        <w:jc w:val="both"/>
        <w:rPr/>
      </w:pPr>
      <w:r>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ind w:firstLine="567"/>
        <w:jc w:val="both"/>
        <w:rPr/>
      </w:pPr>
      <w:r>
        <w:rPr/>
        <w:t>к) документ, подтверждающий внесение участником закупки обеспечения конкурсной заявки;</w:t>
      </w:r>
    </w:p>
    <w:p>
      <w:pPr>
        <w:pStyle w:val="Normal"/>
        <w:ind w:firstLine="567"/>
        <w:jc w:val="both"/>
        <w:rPr/>
      </w:pPr>
      <w:r>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pPr>
        <w:pStyle w:val="Normal"/>
        <w:ind w:firstLine="567"/>
        <w:jc w:val="both"/>
        <w:rPr/>
      </w:pPr>
      <w:r>
        <w:rPr/>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pPr>
        <w:pStyle w:val="Normal"/>
        <w:ind w:firstLine="567"/>
        <w:jc w:val="both"/>
        <w:rPr/>
      </w:pPr>
      <w:r>
        <w:rPr/>
        <w:t>9.5.2.2. для индивидуального предпринимателя:</w:t>
      </w:r>
    </w:p>
    <w:p>
      <w:pPr>
        <w:pStyle w:val="Normal"/>
        <w:ind w:firstLine="567"/>
        <w:jc w:val="both"/>
        <w:rPr/>
      </w:pPr>
      <w:r>
        <w:rPr/>
        <w:t>а) заполненную форму конкурсной заявки в соответствии с требованиями конкурсной документации (оригинал);</w:t>
      </w:r>
    </w:p>
    <w:p>
      <w:pPr>
        <w:pStyle w:val="Normal"/>
        <w:ind w:firstLine="567"/>
        <w:jc w:val="both"/>
        <w:rPr/>
      </w:pPr>
      <w:r>
        <w:rPr/>
        <w:t>б) фамилию, имя, отчество, паспортные данные, сведения о месте жительства, номер контактного телефона;</w:t>
      </w:r>
    </w:p>
    <w:p>
      <w:pPr>
        <w:pStyle w:val="Normal"/>
        <w:ind w:firstLine="567"/>
        <w:jc w:val="both"/>
        <w:rPr/>
      </w:pPr>
      <w:r>
        <w:rPr/>
        <w:t>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конкурса;</w:t>
      </w:r>
    </w:p>
    <w:p>
      <w:pPr>
        <w:pStyle w:val="Normal"/>
        <w:spacing w:before="0" w:after="0"/>
        <w:ind w:firstLine="567"/>
        <w:contextualSpacing/>
        <w:jc w:val="both"/>
        <w:rPr>
          <w:rFonts w:eastAsia="Calibri"/>
        </w:rPr>
      </w:pPr>
      <w:r>
        <w:rPr/>
        <w:t xml:space="preserve">г) </w:t>
      </w:r>
      <w:r>
        <w:rPr>
          <w:rFonts w:eastAsia="Calibri"/>
        </w:rPr>
        <w:t>документ, декларирующий следующее:</w:t>
      </w:r>
    </w:p>
    <w:p>
      <w:pPr>
        <w:pStyle w:val="Normal"/>
        <w:spacing w:before="0" w:after="0"/>
        <w:ind w:firstLine="567"/>
        <w:contextualSpacing/>
        <w:jc w:val="both"/>
        <w:rPr>
          <w:rFonts w:eastAsia="Calibri"/>
        </w:rPr>
      </w:pPr>
      <w:r>
        <w:rPr>
          <w:rFonts w:eastAsia="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Normal"/>
        <w:spacing w:before="0" w:after="0"/>
        <w:ind w:firstLine="567"/>
        <w:contextualSpacing/>
        <w:jc w:val="both"/>
        <w:rPr/>
      </w:pPr>
      <w:r>
        <w:rPr>
          <w:rFonts w:eastAsia="Calibri"/>
        </w:rPr>
        <w:t xml:space="preserve">- на день подачи заявки деятельность участника закупки не приостановлена в порядке, предусмотренном </w:t>
      </w:r>
      <w:hyperlink r:id="rId88">
        <w:r>
          <w:rPr>
            <w:rStyle w:val="ListLabel2"/>
            <w:rFonts w:eastAsia="Calibri"/>
          </w:rPr>
          <w:t>Кодексом</w:t>
        </w:r>
      </w:hyperlink>
      <w:r>
        <w:rPr>
          <w:rFonts w:eastAsia="Calibri"/>
        </w:rPr>
        <w:t xml:space="preserve"> РФ об административных правонарушениях;</w:t>
      </w:r>
    </w:p>
    <w:p>
      <w:pPr>
        <w:pStyle w:val="Normal"/>
        <w:spacing w:before="0" w:after="0"/>
        <w:ind w:firstLine="567"/>
        <w:contextualSpacing/>
        <w:jc w:val="both"/>
        <w:rPr>
          <w:rFonts w:eastAsia="Calibri"/>
        </w:rPr>
      </w:pPr>
      <w:r>
        <w:rPr>
          <w:rFonts w:eastAsia="Calibri"/>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Normal"/>
        <w:spacing w:before="0" w:after="0"/>
        <w:ind w:firstLine="567"/>
        <w:contextualSpacing/>
        <w:jc w:val="both"/>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89">
        <w:r>
          <w:rPr>
            <w:rStyle w:val="ListLabel2"/>
            <w:rFonts w:eastAsia="Calibri"/>
          </w:rPr>
          <w:t>Законом</w:t>
        </w:r>
      </w:hyperlink>
      <w:r>
        <w:rPr>
          <w:rFonts w:eastAsia="Calibri"/>
        </w:rPr>
        <w:t xml:space="preserve"> N 223-ФЗ и </w:t>
      </w:r>
      <w:hyperlink r:id="rId90">
        <w:r>
          <w:rPr>
            <w:rStyle w:val="ListLabel2"/>
            <w:rFonts w:eastAsia="Calibri"/>
          </w:rPr>
          <w:t>Законом</w:t>
        </w:r>
      </w:hyperlink>
      <w:r>
        <w:rPr>
          <w:rFonts w:eastAsia="Calibri"/>
        </w:rPr>
        <w:t xml:space="preserve"> N 44-ФЗ;</w:t>
      </w:r>
    </w:p>
    <w:p>
      <w:pPr>
        <w:pStyle w:val="Normal"/>
        <w:spacing w:before="0" w:after="0"/>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Normal"/>
        <w:spacing w:before="0" w:after="0"/>
        <w:ind w:firstLine="567"/>
        <w:contextualSpacing/>
        <w:jc w:val="both"/>
        <w:rPr/>
      </w:pPr>
      <w:r>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pPr>
        <w:pStyle w:val="Normal"/>
        <w:ind w:firstLine="567"/>
        <w:jc w:val="both"/>
        <w:rPr/>
      </w:pPr>
      <w:r>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ind w:firstLine="567"/>
        <w:jc w:val="both"/>
        <w:rPr/>
      </w:pPr>
      <w:r>
        <w:rPr/>
        <w:t>ж) документ, подтверждающий внесение участником закупки обеспечения конкурсной заявки;</w:t>
      </w:r>
    </w:p>
    <w:p>
      <w:pPr>
        <w:pStyle w:val="Normal"/>
        <w:ind w:firstLine="567"/>
        <w:jc w:val="both"/>
        <w:rPr/>
      </w:pPr>
      <w:r>
        <w:rPr/>
        <w:t>з) иные документы или копии документов, перечень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pPr>
        <w:pStyle w:val="Normal"/>
        <w:ind w:firstLine="567"/>
        <w:jc w:val="both"/>
        <w:rPr/>
      </w:pPr>
      <w:r>
        <w:rPr/>
        <w:t>9.5.2.3. для физического лица:</w:t>
      </w:r>
    </w:p>
    <w:p>
      <w:pPr>
        <w:pStyle w:val="Normal"/>
        <w:ind w:firstLine="567"/>
        <w:jc w:val="both"/>
        <w:rPr/>
      </w:pPr>
      <w:r>
        <w:rPr/>
        <w:t>а) заполненную форму конкурсной заявки в соответствии с требованиями конкурсной документации (оригинал);</w:t>
      </w:r>
    </w:p>
    <w:p>
      <w:pPr>
        <w:pStyle w:val="Normal"/>
        <w:ind w:firstLine="567"/>
        <w:jc w:val="both"/>
        <w:rPr/>
      </w:pPr>
      <w:r>
        <w:rPr/>
        <w:t>б) фамилию, имя, отчество, паспортные данные, сведения о месте жительства, номер контактного телефона;</w:t>
      </w:r>
    </w:p>
    <w:p>
      <w:pPr>
        <w:pStyle w:val="Normal"/>
        <w:ind w:firstLine="567"/>
        <w:jc w:val="both"/>
        <w:rPr/>
      </w:pPr>
      <w:r>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pPr>
        <w:pStyle w:val="Normal"/>
        <w:ind w:firstLine="567"/>
        <w:jc w:val="both"/>
        <w:rPr/>
      </w:pPr>
      <w:r>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ind w:firstLine="567"/>
        <w:jc w:val="both"/>
        <w:rPr/>
      </w:pPr>
      <w:r>
        <w:rPr/>
        <w:t>д) документ, подтверждающий внесение участником закупки обеспечения конкурсной заявки;</w:t>
      </w:r>
    </w:p>
    <w:p>
      <w:pPr>
        <w:pStyle w:val="Normal"/>
        <w:spacing w:before="0" w:after="0"/>
        <w:ind w:firstLine="567"/>
        <w:contextualSpacing/>
        <w:jc w:val="both"/>
        <w:rPr>
          <w:rFonts w:eastAsia="Calibri"/>
        </w:rPr>
      </w:pPr>
      <w:r>
        <w:rPr/>
        <w:t xml:space="preserve">е) </w:t>
      </w:r>
      <w:r>
        <w:rPr>
          <w:rFonts w:eastAsia="Calibri"/>
        </w:rPr>
        <w:t>документ, декларирующий следующее:</w:t>
      </w:r>
    </w:p>
    <w:p>
      <w:pPr>
        <w:pStyle w:val="Normal"/>
        <w:spacing w:before="0" w:after="0"/>
        <w:ind w:firstLine="567"/>
        <w:contextualSpacing/>
        <w:jc w:val="both"/>
        <w:rPr>
          <w:rFonts w:eastAsia="Calibri"/>
        </w:rPr>
      </w:pPr>
      <w:r>
        <w:rPr>
          <w:rFonts w:eastAsia="Calibri"/>
        </w:rPr>
        <w:t>- участник закупки не признан по решению арбитражного суда несостоятельным (банкротом) (для участника - как юридического, так и физического лица);</w:t>
      </w:r>
    </w:p>
    <w:p>
      <w:pPr>
        <w:pStyle w:val="Normal"/>
        <w:spacing w:before="0" w:after="0"/>
        <w:ind w:firstLine="567"/>
        <w:contextualSpacing/>
        <w:jc w:val="both"/>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91">
        <w:r>
          <w:rPr>
            <w:rStyle w:val="ListLabel2"/>
            <w:rFonts w:eastAsia="Calibri"/>
          </w:rPr>
          <w:t>Законом</w:t>
        </w:r>
      </w:hyperlink>
      <w:r>
        <w:rPr>
          <w:rFonts w:eastAsia="Calibri"/>
        </w:rPr>
        <w:t xml:space="preserve"> N 223-ФЗ и </w:t>
      </w:r>
      <w:hyperlink r:id="rId92">
        <w:r>
          <w:rPr>
            <w:rStyle w:val="ListLabel2"/>
            <w:rFonts w:eastAsia="Calibri"/>
          </w:rPr>
          <w:t>Законом</w:t>
        </w:r>
      </w:hyperlink>
      <w:r>
        <w:rPr>
          <w:rFonts w:eastAsia="Calibri"/>
        </w:rPr>
        <w:t xml:space="preserve"> N 44-ФЗ;</w:t>
      </w:r>
    </w:p>
    <w:p>
      <w:pPr>
        <w:pStyle w:val="Normal"/>
        <w:spacing w:before="0" w:after="0"/>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Normal"/>
        <w:spacing w:before="0" w:after="0"/>
        <w:ind w:firstLine="567"/>
        <w:contextualSpacing/>
        <w:jc w:val="both"/>
        <w:rPr/>
      </w:pPr>
      <w:r>
        <w:rPr/>
        <w:t>9.5.2.4. для группы (нескольких лиц) лиц, выступающих на стороне одного участника закупки:</w:t>
      </w:r>
    </w:p>
    <w:p>
      <w:pPr>
        <w:pStyle w:val="Normal"/>
        <w:ind w:firstLine="567"/>
        <w:jc w:val="both"/>
        <w:rPr/>
      </w:pPr>
      <w:r>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 подписывать протоколы, договор;</w:t>
      </w:r>
    </w:p>
    <w:p>
      <w:pPr>
        <w:pStyle w:val="Normal"/>
        <w:ind w:firstLine="567"/>
        <w:jc w:val="both"/>
        <w:rPr/>
      </w:pPr>
      <w:r>
        <w:rPr/>
        <w:t>б) документы и сведения в соответствии с пунктом 9.5.2.1 или пунктами 9.5.2.2, 9.5.2.3. настоящего Положения участника закупки, которому от имени группы лиц поручено подать конкурсную заявку.</w:t>
      </w:r>
    </w:p>
    <w:p>
      <w:pPr>
        <w:pStyle w:val="Normal"/>
        <w:ind w:firstLine="567"/>
        <w:jc w:val="both"/>
        <w:rPr/>
      </w:pPr>
      <w:r>
        <w:rPr/>
        <w:t>9.5.3. Иные требования к конкурсной заявке устанавливаются в конкурсной документации в зависимости от предмета закупки.</w:t>
      </w:r>
    </w:p>
    <w:p>
      <w:pPr>
        <w:pStyle w:val="Normal"/>
        <w:ind w:firstLine="567"/>
        <w:jc w:val="both"/>
        <w:rPr/>
      </w:pPr>
      <w:r>
        <w:rPr/>
      </w:r>
    </w:p>
    <w:p>
      <w:pPr>
        <w:pStyle w:val="Normal"/>
        <w:ind w:firstLine="567"/>
        <w:jc w:val="center"/>
        <w:rPr/>
      </w:pPr>
      <w:r>
        <w:rPr>
          <w:b/>
          <w:bCs/>
        </w:rPr>
        <w:t>9.6. Обеспечение конкурсной заявки</w:t>
      </w:r>
      <w:bookmarkStart w:id="99" w:name="_Hlk533591529"/>
      <w:bookmarkEnd w:id="99"/>
    </w:p>
    <w:p>
      <w:pPr>
        <w:pStyle w:val="Normal"/>
        <w:ind w:firstLine="567"/>
        <w:jc w:val="center"/>
        <w:rPr>
          <w:b/>
          <w:b/>
          <w:bCs/>
        </w:rPr>
      </w:pPr>
      <w:r>
        <w:rPr>
          <w:b/>
          <w:bCs/>
        </w:rPr>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9.6.1.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pPr>
        <w:pStyle w:val="ConsPlusNormal2"/>
        <w:spacing w:before="0" w:after="0"/>
        <w:ind w:firstLine="567"/>
        <w:contextualSpacing/>
        <w:jc w:val="both"/>
        <w:rPr/>
      </w:pPr>
      <w:r>
        <w:rPr>
          <w:rFonts w:cs="Times New Roman" w:ascii="Times New Roman" w:hAnsi="Times New Roman"/>
          <w:sz w:val="24"/>
          <w:szCs w:val="24"/>
        </w:rPr>
        <w:t xml:space="preserve">Исполнение обязательств участника закупки в связи с подачей конкурсной заявки может быть обеспечено внесением денежных средств в качестве обеспечения конкурсной заявки на расчетный счет, указанный в  извещении об осуществлении закупки, конкурсной документации, предоставления банковской гарантии или иным способом, предусмотренным Гражданским </w:t>
      </w:r>
      <w:hyperlink r:id="rId93">
        <w:r>
          <w:rPr>
            <w:rStyle w:val="ListLabel9"/>
            <w:rFonts w:cs="Times New Roman" w:ascii="Times New Roman" w:hAnsi="Times New Roman"/>
            <w:sz w:val="24"/>
            <w:szCs w:val="24"/>
          </w:rPr>
          <w:t>кодексом</w:t>
        </w:r>
      </w:hyperlink>
      <w:r>
        <w:rPr>
          <w:rFonts w:cs="Times New Roman" w:ascii="Times New Roman" w:hAnsi="Times New Roman"/>
          <w:sz w:val="24"/>
          <w:szCs w:val="24"/>
        </w:rPr>
        <w:t xml:space="preserve"> РФ, за исключением проведения закупки в соответствии со </w:t>
      </w:r>
      <w:hyperlink r:id="rId94">
        <w:r>
          <w:rPr>
            <w:rStyle w:val="ListLabel9"/>
            <w:rFonts w:cs="Times New Roman" w:ascii="Times New Roman" w:hAnsi="Times New Roman"/>
            <w:sz w:val="24"/>
            <w:szCs w:val="24"/>
          </w:rPr>
          <w:t>ст. 3.4</w:t>
        </w:r>
      </w:hyperlink>
      <w:r>
        <w:rPr>
          <w:rFonts w:cs="Times New Roman" w:ascii="Times New Roman" w:hAnsi="Times New Roman"/>
          <w:sz w:val="24"/>
          <w:szCs w:val="24"/>
        </w:rPr>
        <w:t xml:space="preserve"> Закона N 223-ФЗ. Выбор способа обеспечения заявки на участие в конкурсе осуществляется участником закупки из числа предусмотренных Заказчиком в извещении об осуществлении закупки, документации о закупке.</w:t>
      </w:r>
    </w:p>
    <w:p>
      <w:pPr>
        <w:pStyle w:val="Normal"/>
        <w:spacing w:before="0" w:after="0"/>
        <w:ind w:firstLine="567"/>
        <w:contextualSpacing/>
        <w:jc w:val="both"/>
        <w:rPr>
          <w:rFonts w:eastAsia="Calibri"/>
        </w:rPr>
      </w:pPr>
      <w:r>
        <w:rPr/>
        <w:t xml:space="preserve"> </w:t>
      </w:r>
      <w:r>
        <w:rPr/>
        <w:t xml:space="preserve">9.6.2. </w:t>
      </w:r>
      <w:r>
        <w:rPr>
          <w:rFonts w:eastAsia="Calibri"/>
        </w:rPr>
        <w:t>Возврат участнику конкурентной закупки обеспечения заявки на участие в закупке не производится в следующих случаях:</w:t>
      </w:r>
    </w:p>
    <w:p>
      <w:pPr>
        <w:pStyle w:val="Normal"/>
        <w:spacing w:before="0" w:after="0"/>
        <w:ind w:firstLine="567"/>
        <w:contextualSpacing/>
        <w:jc w:val="both"/>
        <w:rPr>
          <w:rFonts w:eastAsia="Calibri"/>
        </w:rPr>
      </w:pPr>
      <w:r>
        <w:rPr>
          <w:rFonts w:eastAsia="Calibri"/>
        </w:rPr>
        <w:t>1) уклонение или отказ участника закупки от заключения договора;</w:t>
      </w:r>
    </w:p>
    <w:p>
      <w:pPr>
        <w:pStyle w:val="Normal"/>
        <w:spacing w:before="0" w:after="0"/>
        <w:ind w:firstLine="567"/>
        <w:contextualSpacing/>
        <w:jc w:val="both"/>
        <w:rPr>
          <w:rFonts w:eastAsia="Calibri"/>
        </w:rPr>
      </w:pPr>
      <w:r>
        <w:rPr>
          <w:rFonts w:eastAsia="Calibri"/>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Normal"/>
        <w:ind w:firstLine="567"/>
        <w:jc w:val="both"/>
        <w:rPr/>
      </w:pPr>
      <w:r>
        <w:rPr/>
        <w:t>9.6.3. Обеспечение конкурсной заявки возвращается:</w:t>
      </w:r>
    </w:p>
    <w:p>
      <w:pPr>
        <w:pStyle w:val="Normal"/>
        <w:ind w:firstLine="567"/>
        <w:jc w:val="both"/>
        <w:rPr/>
      </w:pPr>
      <w:r>
        <w:rPr/>
        <w:t>9.6.3.1. участникам закупки, претендентам, внесшим обеспечение конкурсных заявок – в течение 7 рабочих дней со дня принятия решения об отказе от проведения конкурса;</w:t>
      </w:r>
    </w:p>
    <w:p>
      <w:pPr>
        <w:pStyle w:val="Normal"/>
        <w:ind w:firstLine="567"/>
        <w:jc w:val="both"/>
        <w:rPr/>
      </w:pPr>
      <w:r>
        <w:rPr/>
        <w:t>9.6.3.2. участнику закупки, подавшему конкурсную заявку, полученную после окончания приема конкурсных заявок – в течение 7 рабочих дней со дня получения такой заявки;</w:t>
      </w:r>
    </w:p>
    <w:p>
      <w:pPr>
        <w:pStyle w:val="Normal"/>
        <w:ind w:firstLine="567"/>
        <w:jc w:val="both"/>
        <w:rPr/>
      </w:pPr>
      <w:r>
        <w:rPr/>
        <w:t>9.6.3.3.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 в течение 7</w:t>
      </w:r>
      <w:hyperlink w:anchor="sub_10027">
        <w:r>
          <w:rPr>
            <w:rStyle w:val="ListLabel5"/>
          </w:rPr>
          <w:t xml:space="preserve"> рабочих дней со дня поступления заказчику уведомления об отзыве конкурсной заявки;</w:t>
        </w:r>
      </w:hyperlink>
    </w:p>
    <w:p>
      <w:pPr>
        <w:pStyle w:val="Normal"/>
        <w:ind w:firstLine="567"/>
        <w:jc w:val="both"/>
        <w:rPr/>
      </w:pPr>
      <w:r>
        <w:rPr/>
        <w:t>9.6.3.4.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 в течение 7 рабочих дней со дня заключения договора с таким участником;</w:t>
      </w:r>
    </w:p>
    <w:p>
      <w:pPr>
        <w:pStyle w:val="Normal"/>
        <w:ind w:firstLine="567"/>
        <w:jc w:val="both"/>
        <w:rPr/>
      </w:pPr>
      <w:r>
        <w:rPr/>
        <w:t>9.6.3.5. участнику закупки, подавшему конкурсную заявку и не допущенному к участию в конкурсе по результатам отборочной стадии – в течение 7 рабочих дней со дня подписания протокола о результатах конкурса;</w:t>
      </w:r>
    </w:p>
    <w:p>
      <w:pPr>
        <w:pStyle w:val="Normal"/>
        <w:ind w:firstLine="567"/>
        <w:jc w:val="both"/>
        <w:rPr/>
      </w:pPr>
      <w:r>
        <w:rPr/>
        <w:t>9.6.3.6. участнику закупки, признанному единственным участником конкурса по результатам отборочной стадии – в течение 7 рабочих дней со дня заключения договора с таким участником;</w:t>
      </w:r>
    </w:p>
    <w:p>
      <w:pPr>
        <w:pStyle w:val="Normal"/>
        <w:ind w:firstLine="567"/>
        <w:jc w:val="both"/>
        <w:rPr/>
      </w:pPr>
      <w:r>
        <w:rPr/>
        <w:t>9.6.3.7.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второй порядковый номер – в течение 7 рабочих дней со дня подписания протокола о результатах конкурса;</w:t>
      </w:r>
    </w:p>
    <w:p>
      <w:pPr>
        <w:pStyle w:val="Normal"/>
        <w:ind w:firstLine="567"/>
        <w:jc w:val="both"/>
        <w:rPr/>
      </w:pPr>
      <w:r>
        <w:rPr/>
        <w:t>9.6.3.8. участнику конкурса, конкурсной заявке которого, был присвоен второй номер – в течение 7 рабочих дней со дня заключения договора с победителем конкурса или с таким участником конкурса;</w:t>
      </w:r>
    </w:p>
    <w:p>
      <w:pPr>
        <w:pStyle w:val="Normal"/>
        <w:ind w:firstLine="567"/>
        <w:jc w:val="both"/>
        <w:rPr/>
      </w:pPr>
      <w:r>
        <w:rPr/>
        <w:t>9.6.3.9. победителю конкурса – в течение 7 рабочих дней со дня заключения с ним договора в случае, если конкурсной документацией не было предусмотрено предоставления обеспечения исполнения договора.</w:t>
      </w:r>
    </w:p>
    <w:p>
      <w:pPr>
        <w:pStyle w:val="Normal"/>
        <w:ind w:firstLine="567"/>
        <w:jc w:val="both"/>
        <w:rPr>
          <w:color w:val="FF0000"/>
        </w:rPr>
      </w:pPr>
      <w:r>
        <w:rPr/>
        <w:t>В случае, если конкурсной документацией было предусмотрено предоставления обеспечения исполнения договора, победителю конкурса обеспечение заявки возвращается в течение 7 рабочих дней со дня заключения договора и предоставления обеспечения исполнения договора.</w:t>
      </w:r>
      <w:r>
        <w:rPr>
          <w:color w:val="FF0000"/>
        </w:rPr>
        <w:t xml:space="preserve"> </w:t>
      </w:r>
    </w:p>
    <w:p>
      <w:pPr>
        <w:pStyle w:val="Normal"/>
        <w:ind w:firstLine="567"/>
        <w:jc w:val="both"/>
        <w:rPr>
          <w:color w:val="FF0000"/>
        </w:rPr>
      </w:pPr>
      <w:r>
        <w:rPr>
          <w:color w:val="FF0000"/>
        </w:rPr>
      </w:r>
    </w:p>
    <w:p>
      <w:pPr>
        <w:pStyle w:val="Normal"/>
        <w:ind w:firstLine="567"/>
        <w:jc w:val="center"/>
        <w:rPr>
          <w:b/>
          <w:b/>
          <w:bCs/>
        </w:rPr>
      </w:pPr>
      <w:r>
        <w:rPr>
          <w:b/>
          <w:bCs/>
        </w:rPr>
        <w:t>9.7. Порядок приема конкурсных заявок</w:t>
      </w:r>
    </w:p>
    <w:p>
      <w:pPr>
        <w:pStyle w:val="Normal"/>
        <w:ind w:firstLine="567"/>
        <w:jc w:val="center"/>
        <w:rPr>
          <w:b/>
          <w:b/>
          <w:bCs/>
        </w:rPr>
      </w:pPr>
      <w:r>
        <w:rPr>
          <w:b/>
          <w:bCs/>
        </w:rPr>
      </w:r>
      <w:bookmarkStart w:id="100" w:name="_Hlk533591546"/>
      <w:bookmarkStart w:id="101" w:name="_Hlk533591546"/>
      <w:bookmarkEnd w:id="101"/>
    </w:p>
    <w:p>
      <w:pPr>
        <w:pStyle w:val="Normal"/>
        <w:ind w:firstLine="567"/>
        <w:jc w:val="both"/>
        <w:rPr/>
      </w:pPr>
      <w:r>
        <w:rPr/>
        <w:t>9.7.1. Со дня размещения извещения в единой информационной системе и до окончания срока подачи конкурсных заявок, установленного в извещении о проведении открытого конкурса, заказчик осуществляет прием конкурсных заявок.</w:t>
      </w:r>
    </w:p>
    <w:p>
      <w:pPr>
        <w:pStyle w:val="Normal"/>
        <w:ind w:firstLine="567"/>
        <w:jc w:val="both"/>
        <w:rPr/>
      </w:pPr>
      <w:r>
        <w:rPr/>
        <w:t>9.7.2. Для участия в конкурсе претендент должен подать в запечатанном конверте конкурсную заявку по форме и в порядке, установленным конкурсной документацией. Претендент вправе подать только одну конкурсную заявку в отношении каждого предмета конкурса (лота).</w:t>
      </w:r>
    </w:p>
    <w:p>
      <w:pPr>
        <w:pStyle w:val="Normal"/>
        <w:ind w:firstLine="567"/>
        <w:jc w:val="both"/>
        <w:rPr/>
      </w:pPr>
      <w:r>
        <w:rPr/>
        <w:t>9.7.3.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pPr>
        <w:pStyle w:val="Normal"/>
        <w:ind w:firstLine="567"/>
        <w:jc w:val="both"/>
        <w:rPr/>
      </w:pPr>
      <w:r>
        <w:rPr/>
        <w:t>9.7.3.1. О получении ненадлежащим образом запечатанной заявки делается соответствующая пометка в расписке.</w:t>
      </w:r>
    </w:p>
    <w:p>
      <w:pPr>
        <w:pStyle w:val="Normal"/>
        <w:ind w:firstLine="567"/>
        <w:jc w:val="both"/>
        <w:rPr/>
      </w:pPr>
      <w:r>
        <w:rPr/>
        <w:t>9.7.4. Заказчик обеспечивает конфиденциальность сведений, содержащихся в поданных конкурсных заявках.</w:t>
      </w:r>
    </w:p>
    <w:p>
      <w:pPr>
        <w:pStyle w:val="Normal"/>
        <w:ind w:firstLine="567"/>
        <w:jc w:val="both"/>
        <w:rPr/>
      </w:pPr>
      <w:r>
        <w:rPr/>
        <w:t>9.7.5. Участник закупки вправе изменить или отозвать ранее поданную конкурсную заявку в порядке, предусмотренном конкурсной документацией. Изменение и (или) отзыв конкурсных заявок после истечения срока подачи конкурсных заявок, установленного конкурсной документацией, не допускается.</w:t>
      </w:r>
    </w:p>
    <w:p>
      <w:pPr>
        <w:pStyle w:val="Normal"/>
        <w:ind w:firstLine="567"/>
        <w:jc w:val="both"/>
        <w:rPr/>
      </w:pPr>
      <w:r>
        <w:rPr/>
        <w:t>9.7.6.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pPr>
        <w:pStyle w:val="Normal"/>
        <w:ind w:firstLine="567"/>
        <w:jc w:val="both"/>
        <w:rPr/>
      </w:pPr>
      <w:r>
        <w:rPr/>
        <w:t>9.7.7.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pPr>
        <w:pStyle w:val="Normal"/>
        <w:ind w:firstLine="567"/>
        <w:jc w:val="both"/>
        <w:rPr/>
      </w:pPr>
      <w:r>
        <w:rPr/>
        <w:t>9.7.8.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закупкам осуществит вскрытие конверта с такой заявкой и рассмотрит ее в порядке, установленном настоящим Положением. Если 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pPr>
        <w:pStyle w:val="Normal"/>
        <w:ind w:firstLine="567"/>
        <w:jc w:val="both"/>
        <w:rPr/>
      </w:pPr>
      <w:r>
        <w:rPr/>
        <w:t>9.7.9. Конкурсные заявки, полученные заказчиком после окончания срока подачи конкурсных заявок, установленного конкурсной документацией, не рассматриваются и не направляются участникам закупки, подавшим такие заявки.</w:t>
      </w:r>
    </w:p>
    <w:p>
      <w:pPr>
        <w:pStyle w:val="Normal"/>
        <w:ind w:firstLine="567"/>
        <w:jc w:val="both"/>
        <w:rPr>
          <w:color w:val="FF0000"/>
        </w:rPr>
      </w:pPr>
      <w:r>
        <w:rPr>
          <w:color w:val="FF0000"/>
        </w:rPr>
      </w:r>
    </w:p>
    <w:p>
      <w:pPr>
        <w:pStyle w:val="Normal"/>
        <w:ind w:firstLine="567"/>
        <w:jc w:val="center"/>
        <w:rPr>
          <w:b/>
          <w:b/>
          <w:bCs/>
        </w:rPr>
      </w:pPr>
      <w:r>
        <w:rPr>
          <w:b/>
          <w:bCs/>
        </w:rPr>
        <w:t>9.8. Вскрытие конвертов с конкурсными заявками</w:t>
      </w:r>
    </w:p>
    <w:p>
      <w:pPr>
        <w:pStyle w:val="Normal"/>
        <w:ind w:firstLine="567"/>
        <w:jc w:val="center"/>
        <w:rPr>
          <w:b/>
          <w:b/>
          <w:bCs/>
        </w:rPr>
      </w:pPr>
      <w:r>
        <w:rPr>
          <w:b/>
          <w:bCs/>
        </w:rPr>
      </w:r>
      <w:bookmarkStart w:id="102" w:name="_Hlk533591560"/>
      <w:bookmarkStart w:id="103" w:name="_Hlk533591560"/>
      <w:bookmarkEnd w:id="103"/>
    </w:p>
    <w:p>
      <w:pPr>
        <w:pStyle w:val="Normal"/>
        <w:ind w:firstLine="567"/>
        <w:jc w:val="both"/>
        <w:rPr/>
      </w:pPr>
      <w:r>
        <w:rPr/>
        <w:t>9.8.1. Публично в день, время и в месте, указанные в конкурсной документации, комиссией по закупке вскрываются конверты с конкурсными заявками.</w:t>
      </w:r>
    </w:p>
    <w:p>
      <w:pPr>
        <w:pStyle w:val="Normal"/>
        <w:ind w:firstLine="567"/>
        <w:jc w:val="both"/>
        <w:rPr/>
      </w:pPr>
      <w:r>
        <w:rPr/>
        <w:t>9.8.2. Комиссией по закупке вскрываются конверты с конкурсными заявками</w:t>
      </w:r>
      <w:hyperlink w:anchor="sub_10040">
        <w:r>
          <w:rPr>
            <w:rStyle w:val="ListLabel5"/>
          </w:rPr>
          <w:t>, которые поступили заказчику в установленные конкурсной документацией сроки.</w:t>
        </w:r>
      </w:hyperlink>
    </w:p>
    <w:p>
      <w:pPr>
        <w:pStyle w:val="Normal"/>
        <w:ind w:firstLine="567"/>
        <w:jc w:val="both"/>
        <w:rPr/>
      </w:pPr>
      <w:r>
        <w:rPr/>
        <w:t>9.8.2.1.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pPr>
        <w:pStyle w:val="Normal"/>
        <w:ind w:firstLine="567"/>
        <w:jc w:val="both"/>
        <w:rPr/>
      </w:pPr>
      <w:r>
        <w:rPr/>
        <w:t>9.8.3. Участники закупки, подавшие конкурсные заявки, или их представители вправе присутствовать при вскрытии конвертов с конкурсными заявками.</w:t>
      </w:r>
    </w:p>
    <w:p>
      <w:pPr>
        <w:pStyle w:val="Normal"/>
        <w:ind w:firstLine="567"/>
        <w:jc w:val="both"/>
        <w:rPr/>
      </w:pPr>
      <w:r>
        <w:rPr/>
        <w:t>9.8.4. В ходе вскрытия поступивших на конкурс конвертов председатель или замещающий его член комиссии по закупке, исходя из представленных в конкурсной заявке документов, оглашает следующую информацию:</w:t>
      </w:r>
    </w:p>
    <w:p>
      <w:pPr>
        <w:pStyle w:val="Normal"/>
        <w:ind w:firstLine="567"/>
        <w:jc w:val="both"/>
        <w:rPr/>
      </w:pPr>
      <w:r>
        <w:rPr/>
        <w:t>9.8.4.1. о содержимом конверта (конкурсная заявка, ее изменение, отзыв, иное);</w:t>
      </w:r>
    </w:p>
    <w:p>
      <w:pPr>
        <w:pStyle w:val="Normal"/>
        <w:ind w:firstLine="567"/>
        <w:jc w:val="both"/>
        <w:rPr/>
      </w:pPr>
      <w:r>
        <w:rPr/>
        <w:t>9.8.4.2. 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pPr>
        <w:pStyle w:val="Normal"/>
        <w:ind w:firstLine="567"/>
        <w:jc w:val="both"/>
        <w:rPr/>
      </w:pPr>
      <w:r>
        <w:rPr/>
        <w:t>9.8.4.3. наличие сведений и документов, предусмотренных конкурсной документацией,</w:t>
      </w:r>
    </w:p>
    <w:p>
      <w:pPr>
        <w:pStyle w:val="Normal"/>
        <w:ind w:firstLine="567"/>
        <w:jc w:val="both"/>
        <w:rPr/>
      </w:pPr>
      <w:r>
        <w:rPr/>
        <w:t>9.8.4.4. условия исполнения договора, указанные в такой заявке и являющиеся критерием оценки заявок на участие в конкурсе,</w:t>
      </w:r>
    </w:p>
    <w:p>
      <w:pPr>
        <w:pStyle w:val="Normal"/>
        <w:ind w:firstLine="567"/>
        <w:jc w:val="both"/>
        <w:rPr/>
      </w:pPr>
      <w:r>
        <w:rPr/>
        <w:t>9.8.4.5. для конвертов с изменениями и отзывами заявок – существо изменений или факт отзыва заявки;</w:t>
      </w:r>
    </w:p>
    <w:p>
      <w:pPr>
        <w:pStyle w:val="Normal"/>
        <w:ind w:firstLine="567"/>
        <w:jc w:val="both"/>
        <w:rPr/>
      </w:pPr>
      <w:r>
        <w:rPr/>
        <w:t>9.8.4.6. любую другую информацию, которую комиссия по закупкам сочтет нужной огласить.</w:t>
      </w:r>
    </w:p>
    <w:p>
      <w:pPr>
        <w:pStyle w:val="Normal"/>
        <w:ind w:firstLine="567"/>
        <w:jc w:val="both"/>
        <w:rPr/>
      </w:pPr>
      <w:r>
        <w:rPr/>
        <w:t>9.8.5.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pPr>
        <w:pStyle w:val="Normal"/>
        <w:ind w:firstLine="567"/>
        <w:jc w:val="both"/>
        <w:rPr/>
      </w:pPr>
      <w:r>
        <w:rPr/>
        <w:t>9.8.6. По результатам процедуры вскрытия конвертов с конкурсными заявками комиссия по закупкам составляет соответствующий протокол, который должен содержать оглашенные в соответствии с п. 9.8.4. сведения, а также:</w:t>
      </w:r>
    </w:p>
    <w:p>
      <w:pPr>
        <w:pStyle w:val="Normal"/>
        <w:ind w:firstLine="567"/>
        <w:jc w:val="both"/>
        <w:rPr/>
      </w:pPr>
      <w:r>
        <w:rPr/>
        <w:t>9.8.6.1. поименный состав присутствующих на процедуре вскрытия членов комиссии по закупке;</w:t>
      </w:r>
    </w:p>
    <w:p>
      <w:pPr>
        <w:pStyle w:val="Normal"/>
        <w:ind w:firstLine="567"/>
        <w:jc w:val="both"/>
        <w:rPr/>
      </w:pPr>
      <w:r>
        <w:rPr/>
        <w:t>9.8.6.2. общее количество поступивших конкурсных заявок;</w:t>
      </w:r>
    </w:p>
    <w:p>
      <w:pPr>
        <w:pStyle w:val="Normal"/>
        <w:ind w:firstLine="567"/>
        <w:jc w:val="both"/>
        <w:rPr/>
      </w:pPr>
      <w:r>
        <w:rPr/>
        <w:t>9.8.6.3. перечень опоздавших конкурсных заявок.</w:t>
      </w:r>
    </w:p>
    <w:p>
      <w:pPr>
        <w:pStyle w:val="Normal"/>
        <w:ind w:firstLine="567"/>
        <w:jc w:val="both"/>
        <w:rPr/>
      </w:pPr>
      <w:r>
        <w:rPr/>
        <w:t>9.8.7. В случае,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информация о признании конкурса несостоявшимся.</w:t>
      </w:r>
    </w:p>
    <w:p>
      <w:pPr>
        <w:pStyle w:val="Normal"/>
        <w:ind w:firstLine="567"/>
        <w:jc w:val="both"/>
        <w:rPr/>
      </w:pPr>
      <w:r>
        <w:rPr/>
        <w:t>9.8.8. Протокол вскрытия конвертов с конкурсными заявками подписывается всеми присутствующими на заседании членами комиссии по закупке не позднее 1 дня, следующего за днем вскрытия конвертов.</w:t>
      </w:r>
    </w:p>
    <w:p>
      <w:pPr>
        <w:pStyle w:val="Normal"/>
        <w:spacing w:before="0" w:after="0"/>
        <w:ind w:firstLine="567"/>
        <w:contextualSpacing/>
        <w:jc w:val="both"/>
        <w:rPr/>
      </w:pPr>
      <w:r>
        <w:rPr/>
        <w:t>9.8.9. Указанный протокол размещается заказчиком не позднее чем через 3 дня со дня подписания в единой информационной системе.</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9.8.10.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pPr>
        <w:pStyle w:val="Normal"/>
        <w:ind w:firstLine="567"/>
        <w:jc w:val="both"/>
        <w:rPr/>
      </w:pPr>
      <w:r>
        <w:rPr/>
      </w:r>
    </w:p>
    <w:p>
      <w:pPr>
        <w:pStyle w:val="Normal"/>
        <w:ind w:firstLine="567"/>
        <w:jc w:val="center"/>
        <w:rPr>
          <w:b/>
          <w:b/>
          <w:bCs/>
        </w:rPr>
      </w:pPr>
      <w:bookmarkStart w:id="104" w:name="_Hlk533591578"/>
      <w:r>
        <w:rPr>
          <w:b/>
          <w:bCs/>
        </w:rPr>
        <w:t>9.9. Оценка и сопоставление конкурсных заявок</w:t>
      </w:r>
      <w:bookmarkEnd w:id="104"/>
    </w:p>
    <w:p>
      <w:pPr>
        <w:pStyle w:val="Normal"/>
        <w:ind w:firstLine="567"/>
        <w:jc w:val="both"/>
        <w:rPr>
          <w:b/>
          <w:b/>
          <w:bCs/>
        </w:rPr>
      </w:pPr>
      <w:r>
        <w:rPr>
          <w:b/>
          <w:bCs/>
        </w:rPr>
      </w:r>
    </w:p>
    <w:p>
      <w:pPr>
        <w:pStyle w:val="Normal"/>
        <w:ind w:firstLine="567"/>
        <w:jc w:val="both"/>
        <w:rPr/>
      </w:pPr>
      <w:r>
        <w:rPr/>
        <w:t>9.9.1. Оценку и сопоставление конкурсных заявок осуществляет комиссия по закупкам.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pPr>
        <w:pStyle w:val="Normal"/>
        <w:ind w:firstLine="567"/>
        <w:jc w:val="both"/>
        <w:rPr/>
      </w:pPr>
      <w:r>
        <w:rPr/>
        <w:t>9.9.2. Оценка и сопоставление конкурсных заявок осуществляется в следующем порядке:</w:t>
      </w:r>
    </w:p>
    <w:p>
      <w:pPr>
        <w:pStyle w:val="Normal"/>
        <w:ind w:firstLine="567"/>
        <w:jc w:val="both"/>
        <w:rPr/>
      </w:pPr>
      <w:r>
        <w:rPr/>
        <w:t>9.9.2.1. проведение отборочной стадии;</w:t>
      </w:r>
    </w:p>
    <w:p>
      <w:pPr>
        <w:pStyle w:val="Normal"/>
        <w:ind w:firstLine="567"/>
        <w:jc w:val="both"/>
        <w:rPr/>
      </w:pPr>
      <w:r>
        <w:rPr/>
        <w:t>9.9.2.2. проведение оценочной стадии.</w:t>
      </w:r>
    </w:p>
    <w:p>
      <w:pPr>
        <w:pStyle w:val="Normal"/>
        <w:ind w:firstLine="567"/>
        <w:jc w:val="both"/>
        <w:rPr/>
      </w:pPr>
      <w:r>
        <w:rPr/>
        <w:t>9.9.3. Отборочная стадия. В рамках отборочной стадии последовательно выполняются следующие действия:</w:t>
      </w:r>
    </w:p>
    <w:p>
      <w:pPr>
        <w:pStyle w:val="Normal"/>
        <w:ind w:firstLine="567"/>
        <w:jc w:val="both"/>
        <w:rPr/>
      </w:pPr>
      <w:r>
        <w:rPr/>
        <w:t>9.9.3.1.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pPr>
        <w:pStyle w:val="Normal"/>
        <w:ind w:firstLine="567"/>
        <w:jc w:val="both"/>
        <w:rPr/>
      </w:pPr>
      <w:r>
        <w:rPr/>
        <w:t>9.9.3.2. проверка участника закупки на соответствие требованиям конкурса;</w:t>
      </w:r>
    </w:p>
    <w:p>
      <w:pPr>
        <w:pStyle w:val="Normal"/>
        <w:ind w:firstLine="567"/>
        <w:jc w:val="both"/>
        <w:rPr/>
      </w:pPr>
      <w:r>
        <w:rPr/>
        <w:t>9.9.3.3. проверка предлагаемых товаров, работ, услуг на соответствие требованиям конкурса;</w:t>
      </w:r>
    </w:p>
    <w:p>
      <w:pPr>
        <w:pStyle w:val="Normal"/>
        <w:ind w:firstLine="567"/>
        <w:jc w:val="both"/>
        <w:rPr/>
      </w:pPr>
      <w:r>
        <w:rPr/>
        <w:t>9.9.3.4. отклонение конкурсных заявок, которые по мнению членов комиссии по закупке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pPr>
        <w:pStyle w:val="Normal"/>
        <w:ind w:firstLine="567"/>
        <w:jc w:val="both"/>
        <w:rPr/>
      </w:pPr>
      <w:r>
        <w:rPr/>
        <w:t>9.9.4. Участнику закупки будет отказано в признании его участником конкурса, и его заявка не будет допущена до оценочной стадии в случаях:</w:t>
      </w:r>
    </w:p>
    <w:p>
      <w:pPr>
        <w:pStyle w:val="Normal"/>
        <w:ind w:firstLine="567"/>
        <w:jc w:val="both"/>
        <w:rPr/>
      </w:pPr>
      <w:r>
        <w:rPr/>
        <w:t>9.9.4.1. непредставления оригиналов и копий документов, а также иных сведений, требование о наличии которых установлено конкурсной документацией;</w:t>
      </w:r>
    </w:p>
    <w:p>
      <w:pPr>
        <w:pStyle w:val="Normal"/>
        <w:ind w:firstLine="567"/>
        <w:jc w:val="both"/>
        <w:rPr/>
      </w:pPr>
      <w:r>
        <w:rPr/>
        <w:t>9.9.4.2 несоответствия участника закупки требованиям к участникам конкурса, установленным конкурсной документацией;</w:t>
      </w:r>
    </w:p>
    <w:p>
      <w:pPr>
        <w:pStyle w:val="Normal"/>
        <w:ind w:firstLine="567"/>
        <w:jc w:val="both"/>
        <w:rPr/>
      </w:pPr>
      <w:r>
        <w:rPr/>
        <w:t>9.9.4.3.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обеспечения заявки на участие в конкурсе;</w:t>
      </w:r>
    </w:p>
    <w:p>
      <w:pPr>
        <w:pStyle w:val="Normal"/>
        <w:ind w:firstLine="567"/>
        <w:jc w:val="both"/>
        <w:rPr/>
      </w:pPr>
      <w:r>
        <w:rPr/>
        <w:t>9.9.4.4. несоответствия предлагаемых товаров, работ, услуг требованиям конкурсной документации;</w:t>
      </w:r>
    </w:p>
    <w:p>
      <w:pPr>
        <w:pStyle w:val="Normal"/>
        <w:ind w:firstLine="567"/>
        <w:jc w:val="both"/>
        <w:rPr/>
      </w:pPr>
      <w:r>
        <w:rPr/>
        <w:t>9.9.4.5. непредставления обеспечения заявки;</w:t>
      </w:r>
    </w:p>
    <w:p>
      <w:pPr>
        <w:pStyle w:val="Normal"/>
        <w:ind w:firstLine="567"/>
        <w:jc w:val="both"/>
        <w:rPr/>
      </w:pPr>
      <w:r>
        <w:rPr/>
        <w:t>9.9.4.6. предоставления в составе конкурсной заявки заведомо ложных сведений, намеренного искажения информации или документов, входящих в состав заявки.</w:t>
      </w:r>
    </w:p>
    <w:p>
      <w:pPr>
        <w:pStyle w:val="Normal"/>
        <w:ind w:firstLine="567"/>
        <w:jc w:val="both"/>
        <w:rPr/>
      </w:pPr>
      <w:r>
        <w:rPr/>
        <w:t>9.9.5. 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конкурсе на любом этапе его проведения.</w:t>
      </w:r>
    </w:p>
    <w:p>
      <w:pPr>
        <w:pStyle w:val="Normal"/>
        <w:ind w:firstLine="567"/>
        <w:jc w:val="both"/>
        <w:rPr/>
      </w:pPr>
      <w:r>
        <w:rPr/>
        <w:t>9.9.6. Отказ в допуске к участию в конкурсе по иным основаниям, не указанным в пунктах 9.9.4, 9.9.5 не допускается.</w:t>
      </w:r>
    </w:p>
    <w:p>
      <w:pPr>
        <w:pStyle w:val="Normal"/>
        <w:ind w:firstLine="567"/>
        <w:jc w:val="both"/>
        <w:rPr/>
      </w:pPr>
      <w:r>
        <w:rPr/>
        <w:t>9.9.7. В случае,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pPr>
        <w:pStyle w:val="Normal"/>
        <w:ind w:firstLine="567"/>
        <w:jc w:val="both"/>
        <w:rPr/>
      </w:pPr>
      <w:r>
        <w:rPr/>
        <w:t>9.9.7.1. В случае, если при проведении отборочной стадии были признаны несоответствующими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несостоявшимся. Эта информация вносится в протокол о результатах закупки.</w:t>
      </w:r>
    </w:p>
    <w:p>
      <w:pPr>
        <w:pStyle w:val="Normal"/>
        <w:ind w:firstLine="567"/>
        <w:jc w:val="both"/>
        <w:rPr/>
      </w:pPr>
      <w:r>
        <w:rPr/>
        <w:t>9.9.8. Оценочная стадия. В рамках оценочной стадии комиссия по закупкам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или предварительном ранжировании до переторжки.</w:t>
      </w:r>
    </w:p>
    <w:p>
      <w:pPr>
        <w:pStyle w:val="Normal"/>
        <w:ind w:firstLine="567"/>
        <w:jc w:val="both"/>
        <w:rPr/>
      </w:pPr>
      <w:r>
        <w:rPr/>
        <w:t>9.9.8.1. Оценка осуществляется в строгом соответствии с критериями и процедурами, указанными в конкурсной документации.</w:t>
      </w:r>
    </w:p>
    <w:p>
      <w:pPr>
        <w:pStyle w:val="Normal"/>
        <w:ind w:firstLine="567"/>
        <w:jc w:val="both"/>
        <w:rPr/>
      </w:pPr>
      <w:r>
        <w:rPr/>
        <w:t>9.9.8.2. При ранжировании заявок комиссия по закупкам принимает оценки и рекомендации экспертов (если они привлекались), однако может принимать любые самостоятельные решения.</w:t>
      </w:r>
    </w:p>
    <w:p>
      <w:pPr>
        <w:pStyle w:val="Normal"/>
        <w:ind w:firstLine="567"/>
        <w:jc w:val="both"/>
        <w:rPr/>
      </w:pPr>
      <w:r>
        <w:rPr/>
        <w:t>9.9.8.3.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pPr>
        <w:pStyle w:val="Normal"/>
        <w:ind w:firstLine="567"/>
        <w:jc w:val="both"/>
        <w:rPr/>
      </w:pPr>
      <w:r>
        <w:rPr/>
        <w:t>9.9.8.4. Критериями могут быть:</w:t>
      </w:r>
    </w:p>
    <w:p>
      <w:pPr>
        <w:pStyle w:val="Normal"/>
        <w:ind w:firstLine="567"/>
        <w:jc w:val="both"/>
        <w:rPr/>
      </w:pPr>
      <w:r>
        <w:rPr/>
        <w:t>а) квалификация и надежность участника закупки и заявленных соисполнителей (субподрядчиков);</w:t>
      </w:r>
    </w:p>
    <w:p>
      <w:pPr>
        <w:pStyle w:val="Normal"/>
        <w:ind w:firstLine="567"/>
        <w:jc w:val="both"/>
        <w:rPr/>
      </w:pPr>
      <w:r>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pPr>
        <w:pStyle w:val="Normal"/>
        <w:spacing w:before="0" w:after="0"/>
        <w:ind w:firstLine="567"/>
        <w:contextualSpacing/>
        <w:jc w:val="both"/>
        <w:rPr>
          <w:rFonts w:eastAsia="Calibri"/>
        </w:rPr>
      </w:pPr>
      <w:r>
        <w:rPr/>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r>
        <w:rPr>
          <w:rFonts w:eastAsia="Calibri"/>
        </w:rPr>
        <w:t xml:space="preserve"> </w:t>
      </w:r>
    </w:p>
    <w:p>
      <w:pPr>
        <w:pStyle w:val="Normal"/>
        <w:spacing w:before="0" w:after="0"/>
        <w:ind w:firstLine="567"/>
        <w:contextualSpacing/>
        <w:jc w:val="both"/>
        <w:rPr>
          <w:rFonts w:eastAsia="Calibri"/>
        </w:rPr>
      </w:pPr>
      <w:r>
        <w:rPr>
          <w:rFonts w:eastAsia="Calibri"/>
        </w:rPr>
        <w:t>г) качественные и (или) функциональные характеристики (потребительские свойства) товара, качество работ, услуг;</w:t>
      </w:r>
    </w:p>
    <w:p>
      <w:pPr>
        <w:pStyle w:val="Normal"/>
        <w:spacing w:before="0" w:after="0"/>
        <w:ind w:firstLine="567"/>
        <w:contextualSpacing/>
        <w:jc w:val="both"/>
        <w:rPr>
          <w:rFonts w:eastAsia="Calibri"/>
        </w:rPr>
      </w:pPr>
      <w:r>
        <w:rPr>
          <w:rFonts w:eastAsia="Calibri"/>
        </w:rPr>
        <w:t>д) расходы на эксплуатацию товара;</w:t>
      </w:r>
    </w:p>
    <w:p>
      <w:pPr>
        <w:pStyle w:val="Normal"/>
        <w:spacing w:before="0" w:after="0"/>
        <w:ind w:firstLine="567"/>
        <w:contextualSpacing/>
        <w:jc w:val="both"/>
        <w:rPr>
          <w:rFonts w:eastAsia="Calibri"/>
        </w:rPr>
      </w:pPr>
      <w:r>
        <w:rPr>
          <w:rFonts w:eastAsia="Calibri"/>
        </w:rPr>
        <w:t>е) расходы на техническое обслуживание товара;</w:t>
      </w:r>
    </w:p>
    <w:p>
      <w:pPr>
        <w:pStyle w:val="Normal"/>
        <w:spacing w:before="0" w:after="0"/>
        <w:ind w:firstLine="567"/>
        <w:contextualSpacing/>
        <w:jc w:val="both"/>
        <w:rPr>
          <w:rFonts w:eastAsia="Calibri"/>
        </w:rPr>
      </w:pPr>
      <w:r>
        <w:rPr>
          <w:rFonts w:eastAsia="Calibri"/>
        </w:rPr>
        <w:t>ж) сроки (периоды) поставки товара, выполнения работ, оказания услуг;</w:t>
      </w:r>
    </w:p>
    <w:p>
      <w:pPr>
        <w:pStyle w:val="Normal"/>
        <w:spacing w:before="0" w:after="0"/>
        <w:ind w:firstLine="567"/>
        <w:contextualSpacing/>
        <w:jc w:val="both"/>
        <w:rPr>
          <w:rFonts w:eastAsia="Calibri"/>
        </w:rPr>
      </w:pPr>
      <w:r>
        <w:rPr>
          <w:rFonts w:eastAsia="Calibri"/>
        </w:rPr>
        <w:t>з) срок, на который предоставляются гарантии качества товара, работ, услуг;</w:t>
      </w:r>
    </w:p>
    <w:p>
      <w:pPr>
        <w:pStyle w:val="Normal"/>
        <w:spacing w:before="0" w:after="0"/>
        <w:ind w:firstLine="567"/>
        <w:contextualSpacing/>
        <w:jc w:val="both"/>
        <w:rPr>
          <w:rFonts w:eastAsia="Calibri"/>
        </w:rPr>
      </w:pPr>
      <w:r>
        <w:rPr>
          <w:rFonts w:eastAsia="Calibri"/>
        </w:rPr>
        <w:t>и) деловая репутация участника закупок;</w:t>
      </w:r>
    </w:p>
    <w:p>
      <w:pPr>
        <w:pStyle w:val="Normal"/>
        <w:spacing w:before="0" w:after="0"/>
        <w:ind w:firstLine="567"/>
        <w:contextualSpacing/>
        <w:jc w:val="both"/>
        <w:rPr>
          <w:rFonts w:eastAsia="Calibri"/>
        </w:rPr>
      </w:pPr>
      <w:r>
        <w:rPr>
          <w:rFonts w:eastAsia="Calibri"/>
        </w:rPr>
        <w:t xml:space="preserve">к)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 </w:t>
      </w:r>
    </w:p>
    <w:p>
      <w:pPr>
        <w:pStyle w:val="Normal"/>
        <w:ind w:firstLine="567"/>
        <w:jc w:val="both"/>
        <w:rPr/>
      </w:pPr>
      <w:r>
        <w:rPr>
          <w:rFonts w:eastAsia="Calibri"/>
        </w:rPr>
        <w:t xml:space="preserve">В конкурсной документации Заказчик должен указать не менее двух критериев из предусмотренных </w:t>
      </w:r>
      <w:hyperlink r:id="rId95">
        <w:r>
          <w:rPr>
            <w:rStyle w:val="ListLabel10"/>
            <w:rFonts w:eastAsia="Calibri"/>
          </w:rPr>
          <w:t>п.</w:t>
        </w:r>
        <w:r>
          <w:rPr>
            <w:rStyle w:val="ListLabel10"/>
            <w:rFonts w:eastAsia="Calibri"/>
            <w:color w:val="0000FF"/>
          </w:rPr>
          <w:t xml:space="preserve"> </w:t>
        </w:r>
      </w:hyperlink>
      <w:r>
        <w:rPr>
          <w:rFonts w:eastAsia="Calibri"/>
        </w:rPr>
        <w:t>9.9.8.4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pPr>
        <w:pStyle w:val="Normal"/>
        <w:ind w:firstLine="567"/>
        <w:jc w:val="both"/>
        <w:rPr/>
      </w:pPr>
      <w:r>
        <w:rPr/>
        <w:t>9.9.8.5. Отборочная и оценочная стадии могут совмещаться (проводиться одновременно).</w:t>
      </w:r>
    </w:p>
    <w:p>
      <w:pPr>
        <w:pStyle w:val="Normal"/>
        <w:ind w:firstLine="567"/>
        <w:jc w:val="both"/>
        <w:rPr/>
      </w:pPr>
      <w:r>
        <w:rPr/>
        <w:t>9.9.9. Порядок проведения переторжки (регулирование цены).</w:t>
      </w:r>
    </w:p>
    <w:p>
      <w:pPr>
        <w:pStyle w:val="Normal"/>
        <w:ind w:firstLine="567"/>
        <w:jc w:val="both"/>
        <w:rPr>
          <w:rFonts w:eastAsia="Calibri"/>
        </w:rPr>
      </w:pPr>
      <w:r>
        <w:rPr/>
        <w:t xml:space="preserve">9.9.9.1. </w:t>
      </w:r>
      <w:r>
        <w:rPr>
          <w:rFonts w:eastAsia="Calibri"/>
        </w:rPr>
        <w:t>Конкурс проводится с переторжкой, если к участию допущено два или более участника.</w:t>
      </w:r>
    </w:p>
    <w:p>
      <w:pPr>
        <w:pStyle w:val="Normal"/>
        <w:ind w:firstLine="567"/>
        <w:jc w:val="both"/>
        <w:rPr/>
      </w:pPr>
      <w:r>
        <w:rPr/>
        <w:t xml:space="preserve"> </w:t>
      </w:r>
      <w:r>
        <w:rPr/>
        <w:t>Заказчик обязан в случае проведения переторжки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p>
    <w:p>
      <w:pPr>
        <w:pStyle w:val="Normal"/>
        <w:ind w:firstLine="567"/>
        <w:jc w:val="both"/>
        <w:rPr/>
      </w:pPr>
      <w:r>
        <w:rPr/>
        <w:t xml:space="preserve">9.9.9.2. Переторжка (если она предусмотрена конкурсной документацией) может быть проведена в течение трех дней со дня размещения протокола рассмотрения заявок в ЕИС. </w:t>
      </w:r>
    </w:p>
    <w:p>
      <w:pPr>
        <w:pStyle w:val="Normal"/>
        <w:ind w:firstLine="567"/>
        <w:jc w:val="both"/>
        <w:rPr>
          <w:rFonts w:eastAsia="Calibri"/>
        </w:rPr>
      </w:pPr>
      <w:r>
        <w:rPr/>
        <w:t xml:space="preserve">9.9.9.3. </w:t>
      </w:r>
      <w:r>
        <w:rPr>
          <w:rFonts w:eastAsia="Calibri"/>
        </w:rPr>
        <w:t xml:space="preserve">В ходе проведения переторжки участники конкурса представляют секретарю комиссии на бумажном носителе в запечатанном конверте в свободной форме документ с четко указанной минимальной ценой, заверенный </w:t>
      </w:r>
      <w:r>
        <w:rPr/>
        <w:t>двумя подписями – руководителя участника и главным бухгалтером, а также скрепленный печатью</w:t>
      </w:r>
      <w:r>
        <w:rPr>
          <w:rFonts w:eastAsia="Calibri"/>
        </w:rPr>
        <w:t>.</w:t>
      </w:r>
    </w:p>
    <w:p>
      <w:pPr>
        <w:pStyle w:val="Normal"/>
        <w:ind w:firstLine="567"/>
        <w:jc w:val="both"/>
        <w:rPr/>
      </w:pPr>
      <w:r>
        <w:rPr/>
        <w:t>9.9.9.4. В переторжке может участвовать любое количество из приглашенных на нее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pPr>
        <w:pStyle w:val="Normal"/>
        <w:ind w:firstLine="567"/>
        <w:jc w:val="both"/>
        <w:rPr>
          <w:rFonts w:eastAsia="Calibri"/>
        </w:rPr>
      </w:pPr>
      <w:r>
        <w:rPr/>
        <w:t xml:space="preserve">9.9.9.5. </w:t>
      </w:r>
      <w:r>
        <w:rPr>
          <w:rFonts w:eastAsia="Calibri"/>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pPr>
        <w:pStyle w:val="Normal"/>
        <w:spacing w:before="0" w:after="0"/>
        <w:ind w:firstLine="567"/>
        <w:contextualSpacing/>
        <w:jc w:val="both"/>
        <w:rPr/>
      </w:pPr>
      <w:r>
        <w:rPr/>
        <w:t xml:space="preserve">9.9.9.6. </w:t>
      </w:r>
      <w:r>
        <w:rPr>
          <w:rFonts w:eastAsia="Calibri"/>
        </w:rPr>
        <w:t xml:space="preserve">В протоколе переторжки указываются сведения из </w:t>
      </w:r>
      <w:hyperlink r:id="rId96">
        <w:r>
          <w:rPr>
            <w:rStyle w:val="ListLabel2"/>
            <w:rFonts w:eastAsia="Calibri"/>
          </w:rPr>
          <w:t xml:space="preserve">п. </w:t>
        </w:r>
      </w:hyperlink>
      <w:r>
        <w:rPr>
          <w:rFonts w:eastAsia="Calibri"/>
        </w:rPr>
        <w:t>8.5.1 настоящего Положения, а также:</w:t>
      </w:r>
    </w:p>
    <w:p>
      <w:pPr>
        <w:pStyle w:val="Normal"/>
        <w:spacing w:before="0" w:after="0"/>
        <w:ind w:firstLine="567"/>
        <w:contextualSpacing/>
        <w:jc w:val="both"/>
        <w:rPr>
          <w:rFonts w:eastAsia="Calibri"/>
        </w:rPr>
      </w:pPr>
      <w:r>
        <w:rPr>
          <w:rFonts w:eastAsia="Calibri"/>
        </w:rPr>
        <w:t>1) сведения о месте, дате, времени проведения переторжки;</w:t>
      </w:r>
    </w:p>
    <w:p>
      <w:pPr>
        <w:pStyle w:val="Normal"/>
        <w:spacing w:before="0" w:after="0"/>
        <w:ind w:firstLine="567"/>
        <w:contextualSpacing/>
        <w:jc w:val="both"/>
        <w:rPr>
          <w:rFonts w:eastAsia="Calibri"/>
        </w:rPr>
      </w:pPr>
      <w:r>
        <w:rPr>
          <w:rFonts w:eastAsia="Calibri"/>
        </w:rPr>
        <w:t>2) фамилии, имена, отчества, должности членов комиссии по закупкам;</w:t>
      </w:r>
    </w:p>
    <w:p>
      <w:pPr>
        <w:pStyle w:val="Normal"/>
        <w:spacing w:before="0" w:after="0"/>
        <w:ind w:firstLine="567"/>
        <w:contextualSpacing/>
        <w:jc w:val="both"/>
        <w:rPr>
          <w:rFonts w:eastAsia="Calibri"/>
        </w:rPr>
      </w:pPr>
      <w:r>
        <w:rPr>
          <w:rFonts w:eastAsia="Calibri"/>
        </w:rPr>
        <w:t>3) наименование и предмет конкурса (лота);</w:t>
      </w:r>
    </w:p>
    <w:p>
      <w:pPr>
        <w:pStyle w:val="Normal"/>
        <w:spacing w:before="0" w:after="0"/>
        <w:ind w:firstLine="567"/>
        <w:contextualSpacing/>
        <w:jc w:val="both"/>
        <w:rPr>
          <w:rFonts w:eastAsia="Calibri"/>
        </w:rPr>
      </w:pPr>
      <w:r>
        <w:rPr>
          <w:rFonts w:eastAsia="Calibri"/>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pPr>
        <w:pStyle w:val="Normal"/>
        <w:spacing w:before="0" w:after="0"/>
        <w:ind w:firstLine="567"/>
        <w:contextualSpacing/>
        <w:jc w:val="both"/>
        <w:rPr>
          <w:rFonts w:eastAsia="Calibri"/>
        </w:rPr>
      </w:pPr>
      <w:r>
        <w:rPr>
          <w:rFonts w:eastAsia="Calibri"/>
        </w:rPr>
        <w:t>5) изменения минимальной цены, которые внесены в ранее представленные заявки на участие в конкурсе.</w:t>
      </w:r>
    </w:p>
    <w:p>
      <w:pPr>
        <w:pStyle w:val="Normal"/>
        <w:ind w:firstLine="567"/>
        <w:jc w:val="both"/>
        <w:rPr>
          <w:rFonts w:eastAsia="Calibri"/>
        </w:rPr>
      </w:pPr>
      <w:r>
        <w:rPr/>
        <w:t xml:space="preserve">9.9.9.7. </w:t>
      </w:r>
      <w:r>
        <w:rPr>
          <w:rFonts w:eastAsia="Calibri"/>
        </w:rPr>
        <w:t>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pPr>
        <w:pStyle w:val="Normal"/>
        <w:ind w:firstLine="567"/>
        <w:jc w:val="center"/>
        <w:rPr>
          <w:b/>
          <w:b/>
          <w:bCs/>
        </w:rPr>
      </w:pPr>
      <w:r>
        <w:rPr>
          <w:b/>
          <w:bCs/>
        </w:rPr>
      </w:r>
    </w:p>
    <w:p>
      <w:pPr>
        <w:pStyle w:val="Normal"/>
        <w:ind w:firstLine="567"/>
        <w:jc w:val="center"/>
        <w:rPr>
          <w:b/>
          <w:b/>
          <w:bCs/>
        </w:rPr>
      </w:pPr>
      <w:r>
        <w:rPr>
          <w:b/>
          <w:bCs/>
        </w:rPr>
        <w:t>9.10. Определение победителя конкурса</w:t>
      </w:r>
      <w:bookmarkStart w:id="105" w:name="_Hlk533591598"/>
      <w:bookmarkEnd w:id="105"/>
    </w:p>
    <w:p>
      <w:pPr>
        <w:pStyle w:val="Normal"/>
        <w:ind w:firstLine="567"/>
        <w:jc w:val="center"/>
        <w:rPr>
          <w:b/>
          <w:b/>
          <w:bCs/>
        </w:rPr>
      </w:pPr>
      <w:r>
        <w:rPr>
          <w:b/>
          <w:bCs/>
        </w:rPr>
      </w:r>
    </w:p>
    <w:p>
      <w:pPr>
        <w:pStyle w:val="Normal"/>
        <w:ind w:firstLine="567"/>
        <w:jc w:val="both"/>
        <w:rPr/>
      </w:pPr>
      <w:r>
        <w:rPr/>
        <w:t>9.10.1. На основании результатов оценки и сопоставления конкурсных заявок комиссия по закупкам каждой конкурсной заявке относительно других по мере уменьшения степени выгодности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закупкам присвоит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pPr>
        <w:pStyle w:val="Normal"/>
        <w:ind w:firstLine="567"/>
        <w:jc w:val="both"/>
        <w:rPr/>
      </w:pPr>
      <w:r>
        <w:rPr/>
        <w:t>9.10.1.1. В случае, если в нескольких конкурсных заявках содержатся равнозначные сочетания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pPr>
        <w:pStyle w:val="Normal"/>
        <w:ind w:firstLine="567"/>
        <w:jc w:val="both"/>
        <w:rPr/>
      </w:pPr>
      <w:r>
        <w:rPr/>
        <w:t>9.10.2.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результатах конкурса. В нем указываются сведения в соответствии с пунктом 8.5.2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конкурса, заявки которых были рассмотрены, установленное комиссией по закупке ранжирование заявок по степени предпочтительности и называется победитель конкурса.</w:t>
      </w:r>
    </w:p>
    <w:p>
      <w:pPr>
        <w:pStyle w:val="Normal"/>
        <w:ind w:firstLine="567"/>
        <w:jc w:val="both"/>
        <w:rPr/>
      </w:pPr>
      <w:r>
        <w:rPr/>
        <w:t>Протокол подписывается членами комиссии по закупке, присутствовавшими на заседании, в течение одного дня</w:t>
      </w:r>
      <w:r>
        <w:rPr>
          <w:color w:val="FF0000"/>
        </w:rPr>
        <w:t xml:space="preserve"> </w:t>
      </w:r>
      <w:r>
        <w:rPr/>
        <w:t>следующего за днем заседания комиссии.</w:t>
      </w:r>
      <w:r>
        <w:rPr>
          <w:rFonts w:eastAsia="Calibri"/>
        </w:rPr>
        <w:t xml:space="preserve"> Протокол составляется в двух экземплярах. Один из них хранится у секретаря комиссии по закупкам, второй направляется победителю конкурса.</w:t>
      </w:r>
    </w:p>
    <w:p>
      <w:pPr>
        <w:pStyle w:val="Normal"/>
        <w:ind w:firstLine="567"/>
        <w:jc w:val="both"/>
        <w:rPr>
          <w:color w:val="FF0000"/>
        </w:rPr>
      </w:pPr>
      <w:r>
        <w:rPr/>
        <w:t>9.10.3 Указанный протокол размещается заказчиком в ЕИС  не позднее чем через 3 дня со дня подписания</w:t>
      </w:r>
      <w:r>
        <w:rPr>
          <w:color w:val="FF0000"/>
        </w:rPr>
        <w:t xml:space="preserve"> </w:t>
      </w:r>
      <w:r>
        <w:rPr/>
        <w:t>такого протокола.</w:t>
      </w:r>
      <w:r>
        <w:rPr>
          <w:color w:val="FF0000"/>
        </w:rPr>
        <w:t xml:space="preserve"> </w:t>
      </w:r>
    </w:p>
    <w:p>
      <w:pPr>
        <w:pStyle w:val="Normal"/>
        <w:ind w:firstLine="567"/>
        <w:jc w:val="both"/>
        <w:rPr/>
      </w:pPr>
      <w:r>
        <w:rPr/>
        <w:t>9.10.4.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w:t>
      </w:r>
    </w:p>
    <w:p>
      <w:pPr>
        <w:pStyle w:val="Normal"/>
        <w:ind w:firstLine="567"/>
        <w:jc w:val="both"/>
        <w:rPr/>
      </w:pPr>
      <w:r>
        <w:rPr/>
        <w:t>9.10.4.1. В случае уклонения участника, конкурсной заявке которого был присвоен второй номер, от заключения договора конкурс признается несостоявшимся.</w:t>
      </w:r>
    </w:p>
    <w:p>
      <w:pPr>
        <w:pStyle w:val="Normal"/>
        <w:ind w:firstLine="567"/>
        <w:jc w:val="both"/>
        <w:rPr/>
      </w:pPr>
      <w:r>
        <w:rPr/>
      </w:r>
    </w:p>
    <w:p>
      <w:pPr>
        <w:pStyle w:val="Normal"/>
        <w:ind w:firstLine="567"/>
        <w:jc w:val="center"/>
        <w:rPr>
          <w:b/>
          <w:b/>
          <w:bCs/>
        </w:rPr>
      </w:pPr>
      <w:r>
        <w:rPr>
          <w:b/>
          <w:bCs/>
        </w:rPr>
      </w:r>
    </w:p>
    <w:p>
      <w:pPr>
        <w:pStyle w:val="Normal"/>
        <w:ind w:firstLine="567"/>
        <w:jc w:val="center"/>
        <w:rPr>
          <w:b/>
          <w:b/>
          <w:bCs/>
        </w:rPr>
      </w:pPr>
      <w:r>
        <w:rPr>
          <w:b/>
          <w:bCs/>
        </w:rPr>
        <w:t>9.11. Последствия признания конкурса несостоявшимся</w:t>
      </w:r>
      <w:bookmarkStart w:id="106" w:name="_Hlk533591622"/>
      <w:bookmarkEnd w:id="106"/>
    </w:p>
    <w:p>
      <w:pPr>
        <w:pStyle w:val="Normal"/>
        <w:ind w:firstLine="567"/>
        <w:jc w:val="center"/>
        <w:rPr>
          <w:b/>
          <w:b/>
          <w:bCs/>
          <w:color w:val="FF0000"/>
        </w:rPr>
      </w:pPr>
      <w:r>
        <w:rPr>
          <w:b/>
          <w:bCs/>
          <w:color w:val="FF0000"/>
        </w:rPr>
      </w:r>
    </w:p>
    <w:p>
      <w:pPr>
        <w:pStyle w:val="Normal"/>
        <w:ind w:firstLine="567"/>
        <w:jc w:val="both"/>
        <w:rPr/>
      </w:pPr>
      <w:r>
        <w:rPr/>
        <w:t xml:space="preserve">9.11.1. В случае, если конкурс признан несостоявшимся и (или) договор не заключен с участником закупки, подавшим единственную конкурсную заявку или признанным единственным участником конкурса, заказчик заключает договор с единственным </w:t>
      </w:r>
      <w:bookmarkStart w:id="107" w:name="_Hlk485820831"/>
      <w:r>
        <w:rPr/>
        <w:t xml:space="preserve">поставщиком (исполнителем, подрядчиком) </w:t>
      </w:r>
      <w:bookmarkEnd w:id="107"/>
      <w:r>
        <w:rPr/>
        <w:t>в соответствии с пунктом 6.3.6.2. настоящего Положения и в порядке, предусмотренном настоящим Положением.</w:t>
      </w:r>
    </w:p>
    <w:p>
      <w:pPr>
        <w:pStyle w:val="Normal"/>
        <w:ind w:firstLine="567"/>
        <w:jc w:val="both"/>
        <w:rPr/>
      </w:pPr>
      <w:r>
        <w:rPr/>
      </w:r>
    </w:p>
    <w:p>
      <w:pPr>
        <w:pStyle w:val="Normal"/>
        <w:ind w:firstLine="567"/>
        <w:jc w:val="center"/>
        <w:rPr>
          <w:b/>
          <w:b/>
          <w:bCs/>
        </w:rPr>
      </w:pPr>
      <w:r>
        <w:rPr>
          <w:b/>
          <w:bCs/>
        </w:rPr>
        <w:t>10. ОСОБЕННОСТИ ПРОВЕДЕНИЯ КОНКУРСА В ЭЛЕКТРОННОЙ ФОРМЕ</w:t>
      </w:r>
      <w:bookmarkStart w:id="108" w:name="_Hlk533591666"/>
      <w:bookmarkEnd w:id="108"/>
    </w:p>
    <w:p>
      <w:pPr>
        <w:pStyle w:val="Normal"/>
        <w:ind w:firstLine="567"/>
        <w:jc w:val="center"/>
        <w:rPr>
          <w:b/>
          <w:b/>
          <w:bCs/>
          <w:color w:val="FF0000"/>
        </w:rPr>
      </w:pPr>
      <w:r>
        <w:rPr>
          <w:b/>
          <w:bCs/>
          <w:color w:val="FF0000"/>
        </w:rPr>
      </w:r>
    </w:p>
    <w:p>
      <w:pPr>
        <w:pStyle w:val="Normal"/>
        <w:ind w:firstLine="567"/>
        <w:jc w:val="both"/>
        <w:rPr/>
      </w:pPr>
      <w:r>
        <w:rPr/>
        <w:t>10.1. Конкурс в электронной форме проводится в порядке проведения открытого конкурса, с учетом положений пункта 22.</w:t>
      </w:r>
    </w:p>
    <w:p>
      <w:pPr>
        <w:pStyle w:val="Normal"/>
        <w:ind w:firstLine="567"/>
        <w:jc w:val="both"/>
        <w:rPr/>
      </w:pPr>
      <w:r>
        <w:rPr/>
      </w:r>
    </w:p>
    <w:p>
      <w:pPr>
        <w:pStyle w:val="Normal"/>
        <w:ind w:firstLine="567"/>
        <w:jc w:val="center"/>
        <w:rPr>
          <w:b/>
          <w:b/>
          <w:bCs/>
        </w:rPr>
      </w:pPr>
      <w:r>
        <w:rPr>
          <w:b/>
          <w:bCs/>
        </w:rPr>
        <w:t>11. ОСОБЕННОСТИ ПРОВЕДЕНИЯ ЗАКРЫТОГО КОНКУРСА</w:t>
      </w:r>
    </w:p>
    <w:p>
      <w:pPr>
        <w:pStyle w:val="Normal"/>
        <w:ind w:firstLine="567"/>
        <w:jc w:val="center"/>
        <w:rPr>
          <w:b/>
          <w:b/>
          <w:bCs/>
        </w:rPr>
      </w:pPr>
      <w:r>
        <w:rPr>
          <w:b/>
          <w:bCs/>
        </w:rPr>
      </w:r>
      <w:bookmarkStart w:id="109" w:name="_Hlk533591684"/>
      <w:bookmarkStart w:id="110" w:name="_Hlk533591684"/>
      <w:bookmarkEnd w:id="110"/>
    </w:p>
    <w:p>
      <w:pPr>
        <w:pStyle w:val="Normal"/>
        <w:ind w:firstLine="567"/>
        <w:jc w:val="both"/>
        <w:rPr/>
      </w:pPr>
      <w:r>
        <w:rPr/>
        <w:t>11.1. Закрытый конкурс проводится в порядке проведения открытого конкурса, с учетом положений настоящего пункта.</w:t>
      </w:r>
    </w:p>
    <w:p>
      <w:pPr>
        <w:pStyle w:val="Normal"/>
        <w:ind w:firstLine="567"/>
        <w:jc w:val="both"/>
        <w:rPr/>
      </w:pPr>
      <w:r>
        <w:rPr/>
        <w:t>11.2. При проведении закрытого конкурса извещение о проведении закрытого конкурса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единой информационной системе. Заказчик в сроки, установленные для размещения извещения о закупке на официальном сайте, направляет приглашения принять участие в закрытом конкурсе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8.3.1 и 9.2.2. настоящего Положения.</w:t>
      </w:r>
    </w:p>
    <w:p>
      <w:pPr>
        <w:pStyle w:val="Normal"/>
        <w:ind w:firstLine="567"/>
        <w:jc w:val="both"/>
        <w:rPr/>
      </w:pPr>
      <w:r>
        <w:rPr/>
        <w:t>11.3. При проведении закрытого конкурса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pPr>
        <w:pStyle w:val="Normal"/>
        <w:ind w:firstLine="567"/>
        <w:jc w:val="both"/>
        <w:rPr/>
      </w:pPr>
      <w:r>
        <w:rPr/>
        <w:t>11.4. Протоколы, формируемые по результатам заседания комиссии по закупке, не подлежат опубликованию в средствах массовой информации и размещению в единой информационной системе.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конкурсные заявки.</w:t>
      </w:r>
    </w:p>
    <w:p>
      <w:pPr>
        <w:pStyle w:val="Normal"/>
        <w:ind w:firstLine="567"/>
        <w:jc w:val="both"/>
        <w:rPr/>
      </w:pPr>
      <w:r>
        <w:rPr/>
        <w:t>11.5. В случае отказа от проведения закрытого конкурса заказчик возмещает приглашенным участникам реальный ущерб независимо от того, в какой срок последовал отказ.</w:t>
      </w:r>
    </w:p>
    <w:p>
      <w:pPr>
        <w:pStyle w:val="Normal"/>
        <w:ind w:firstLine="567"/>
        <w:jc w:val="both"/>
        <w:rPr/>
      </w:pPr>
      <w:r>
        <w:rPr/>
      </w:r>
    </w:p>
    <w:p>
      <w:pPr>
        <w:pStyle w:val="Normal"/>
        <w:ind w:firstLine="567"/>
        <w:jc w:val="center"/>
        <w:rPr>
          <w:b/>
          <w:b/>
          <w:bCs/>
        </w:rPr>
      </w:pPr>
      <w:r>
        <w:rPr>
          <w:b/>
          <w:bCs/>
        </w:rPr>
      </w:r>
    </w:p>
    <w:p>
      <w:pPr>
        <w:pStyle w:val="Normal"/>
        <w:ind w:firstLine="567"/>
        <w:jc w:val="center"/>
        <w:rPr>
          <w:b/>
          <w:b/>
          <w:bCs/>
        </w:rPr>
      </w:pPr>
      <w:r>
        <w:rPr>
          <w:b/>
          <w:bCs/>
        </w:rPr>
        <w:t>12. ПОРЯДОК ПРОВЕДЕНИЯ ОТКРЫТОГО АУКЦИОНА</w:t>
      </w:r>
    </w:p>
    <w:p>
      <w:pPr>
        <w:pStyle w:val="Normal"/>
        <w:ind w:firstLine="567"/>
        <w:jc w:val="center"/>
        <w:rPr>
          <w:b/>
          <w:b/>
          <w:bCs/>
        </w:rPr>
      </w:pPr>
      <w:r>
        <w:rPr>
          <w:b/>
          <w:bCs/>
        </w:rPr>
      </w:r>
    </w:p>
    <w:p>
      <w:pPr>
        <w:pStyle w:val="Normal"/>
        <w:ind w:firstLine="567"/>
        <w:jc w:val="center"/>
        <w:rPr>
          <w:b/>
          <w:b/>
          <w:bCs/>
        </w:rPr>
      </w:pPr>
      <w:r>
        <w:rPr>
          <w:b/>
          <w:bCs/>
        </w:rPr>
        <w:t>12.1. Общий порядок проведения открытого аукциона</w:t>
      </w:r>
    </w:p>
    <w:p>
      <w:pPr>
        <w:pStyle w:val="Normal"/>
        <w:ind w:firstLine="567"/>
        <w:jc w:val="center"/>
        <w:rPr>
          <w:b/>
          <w:b/>
          <w:bCs/>
        </w:rPr>
      </w:pPr>
      <w:r>
        <w:rPr>
          <w:b/>
          <w:bCs/>
        </w:rPr>
      </w:r>
      <w:bookmarkStart w:id="111" w:name="_Hlk533591700"/>
      <w:bookmarkStart w:id="112" w:name="_Hlk533591700"/>
      <w:bookmarkEnd w:id="112"/>
    </w:p>
    <w:p>
      <w:pPr>
        <w:pStyle w:val="Normal"/>
        <w:ind w:firstLine="567"/>
        <w:jc w:val="both"/>
        <w:rPr>
          <w:rFonts w:eastAsia="Calibri"/>
          <w:bCs/>
        </w:rPr>
      </w:pPr>
      <w:r>
        <w:rPr>
          <w:rFonts w:eastAsia="Calibri"/>
          <w:bCs/>
        </w:rPr>
        <w:t>12.1.1.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pPr>
        <w:pStyle w:val="Normal"/>
        <w:ind w:firstLine="567"/>
        <w:jc w:val="both"/>
        <w:rPr/>
      </w:pPr>
      <w:r>
        <w:rPr/>
        <w:t>12.1.2. В целях закупки товаров, работ, услуг путем проведения открытого аукциона необходимо:</w:t>
      </w:r>
    </w:p>
    <w:p>
      <w:pPr>
        <w:pStyle w:val="Normal"/>
        <w:ind w:firstLine="567"/>
        <w:jc w:val="both"/>
        <w:rPr/>
      </w:pPr>
      <w:r>
        <w:rPr/>
        <w:t>12.1.2.1. разработать и разместить в единой информационной системе извещение о проведении открытого аукциона, аукционную документацию, проект договора;</w:t>
      </w:r>
    </w:p>
    <w:p>
      <w:pPr>
        <w:pStyle w:val="Normal"/>
        <w:ind w:firstLine="567"/>
        <w:jc w:val="both"/>
        <w:rPr/>
      </w:pPr>
      <w:r>
        <w:rPr/>
        <w:t>12.1.2.2. в случае получения от претендента запроса на разъяснение положений аукционной документации, предоставлять необходимые разъяснения;</w:t>
      </w:r>
    </w:p>
    <w:p>
      <w:pPr>
        <w:pStyle w:val="Normal"/>
        <w:ind w:firstLine="567"/>
        <w:jc w:val="both"/>
        <w:rPr/>
      </w:pPr>
      <w:r>
        <w:rPr/>
        <w:t>12.1.2.3. при необходимости вносить изменения в извещение о проведении открытого аукциона, аукционную документацию;</w:t>
      </w:r>
    </w:p>
    <w:p>
      <w:pPr>
        <w:pStyle w:val="Normal"/>
        <w:ind w:firstLine="567"/>
        <w:jc w:val="both"/>
        <w:rPr/>
      </w:pPr>
      <w:r>
        <w:rPr/>
        <w:t>12.1.2.4. принимать все аукционные заявки, поданные в срок и в порядке, установленные в аукционной документации;</w:t>
      </w:r>
    </w:p>
    <w:p>
      <w:pPr>
        <w:pStyle w:val="Normal"/>
        <w:ind w:firstLine="567"/>
        <w:jc w:val="both"/>
        <w:rPr/>
      </w:pPr>
      <w:r>
        <w:rPr/>
        <w:t>12.1.2.5. рассмотреть аукционные заявки в целях принятия решения о допуске или об отказе в допуске участника закупки к участию в аукционе;</w:t>
      </w:r>
    </w:p>
    <w:p>
      <w:pPr>
        <w:pStyle w:val="Normal"/>
        <w:ind w:firstLine="567"/>
        <w:jc w:val="both"/>
        <w:rPr/>
      </w:pPr>
      <w:r>
        <w:rPr/>
        <w:t>12.1.2.6. провести аукцион</w:t>
      </w:r>
    </w:p>
    <w:p>
      <w:pPr>
        <w:pStyle w:val="Normal"/>
        <w:ind w:firstLine="567"/>
        <w:jc w:val="both"/>
        <w:rPr/>
      </w:pPr>
      <w:r>
        <w:rPr/>
        <w:t>12.1.2.7. разместить в единой информационной системе протоколы, составленные по результатам заседаний комиссии по закупке;</w:t>
      </w:r>
    </w:p>
    <w:p>
      <w:pPr>
        <w:pStyle w:val="Normal"/>
        <w:ind w:firstLine="567"/>
        <w:jc w:val="both"/>
        <w:rPr/>
      </w:pPr>
      <w:r>
        <w:rPr/>
        <w:t>12.1.2.8. заключить договор по результатам закупки.</w:t>
      </w:r>
    </w:p>
    <w:p>
      <w:pPr>
        <w:pStyle w:val="Normal"/>
        <w:ind w:firstLine="567"/>
        <w:jc w:val="both"/>
        <w:rPr>
          <w:color w:val="FF0000"/>
        </w:rPr>
      </w:pPr>
      <w:r>
        <w:rPr>
          <w:color w:val="FF0000"/>
        </w:rPr>
      </w:r>
    </w:p>
    <w:p>
      <w:pPr>
        <w:pStyle w:val="Normal"/>
        <w:ind w:firstLine="567"/>
        <w:jc w:val="center"/>
        <w:rPr>
          <w:b/>
          <w:b/>
          <w:bCs/>
        </w:rPr>
      </w:pPr>
      <w:r>
        <w:rPr>
          <w:b/>
          <w:bCs/>
        </w:rPr>
        <w:t>12.2. Извещение о проведении открытого аукциона</w:t>
      </w:r>
      <w:bookmarkStart w:id="113" w:name="_Hlk533591716"/>
      <w:bookmarkEnd w:id="113"/>
    </w:p>
    <w:p>
      <w:pPr>
        <w:pStyle w:val="Normal"/>
        <w:spacing w:before="240" w:after="0"/>
        <w:ind w:firstLine="567"/>
        <w:jc w:val="both"/>
        <w:rPr>
          <w:rFonts w:eastAsia="Calibri"/>
          <w:bCs/>
        </w:rPr>
      </w:pPr>
      <w:r>
        <w:rPr/>
        <w:t xml:space="preserve">12.2.1. </w:t>
      </w:r>
      <w:r>
        <w:rPr>
          <w:rFonts w:eastAsia="Calibri"/>
          <w:bCs/>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pPr>
        <w:pStyle w:val="Normal"/>
        <w:ind w:firstLine="567"/>
        <w:jc w:val="both"/>
        <w:rPr>
          <w:rFonts w:eastAsia="Calibri"/>
          <w:bCs/>
        </w:rPr>
      </w:pPr>
      <w:r>
        <w:rPr>
          <w:rFonts w:eastAsia="Calibri"/>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pPr>
        <w:pStyle w:val="Normal"/>
        <w:ind w:firstLine="567"/>
        <w:jc w:val="both"/>
        <w:rPr/>
      </w:pPr>
      <w:r>
        <w:rPr/>
        <w:t>12.2.2. В извещении о проведении открытого аукциона должны быть указаны сведения в соответствии с п. 8.3.1. настоящего Положения, а также:</w:t>
      </w:r>
    </w:p>
    <w:p>
      <w:pPr>
        <w:pStyle w:val="Normal"/>
        <w:ind w:firstLine="567"/>
        <w:jc w:val="both"/>
        <w:rPr/>
      </w:pPr>
      <w:r>
        <w:rPr/>
        <w:t>12.2.2.1. размер обеспечения заявки, способы, срок и порядок внесения, реквизиты счета (в случае, если это предусмотрено заказчиком). (при необходимости).</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12.2.2.2.</w:t>
      </w:r>
      <w:r>
        <w:rPr/>
        <w:t xml:space="preserve"> </w:t>
      </w:r>
      <w:r>
        <w:rPr>
          <w:rFonts w:cs="Times New Roman" w:ascii="Times New Roman" w:hAnsi="Times New Roman"/>
          <w:sz w:val="24"/>
          <w:szCs w:val="24"/>
        </w:rPr>
        <w:t>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12.2.2.3.</w:t>
      </w:r>
      <w:r>
        <w:rPr/>
        <w:t xml:space="preserve"> </w:t>
      </w:r>
      <w:r>
        <w:rPr>
          <w:rFonts w:cs="Times New Roman" w:ascii="Times New Roman" w:hAnsi="Times New Roman"/>
          <w:sz w:val="24"/>
          <w:szCs w:val="24"/>
        </w:rPr>
        <w:t>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Сведения в извещении должны соответствовать сведениям, указанным в аукционной документации.</w:t>
      </w:r>
    </w:p>
    <w:p>
      <w:pPr>
        <w:pStyle w:val="Normal"/>
        <w:ind w:firstLine="567"/>
        <w:jc w:val="both"/>
        <w:rPr/>
      </w:pPr>
      <w:r>
        <w:rPr/>
        <w:t xml:space="preserve">12.2.3.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извещение о проведении открытого аукциона. Не позднее трех дней со дня принятия решения о необходимости изменения извещения о проведении открытого аукциона такие изменения размещаются заказчиком в единой информационной системе. </w:t>
      </w:r>
      <w:r>
        <w:rPr>
          <w:rFonts w:eastAsia="Calibri"/>
        </w:rPr>
        <w:t>Изменение предмета аукциона не допускается.</w:t>
      </w:r>
    </w:p>
    <w:p>
      <w:pPr>
        <w:pStyle w:val="Normal"/>
        <w:ind w:firstLine="567"/>
        <w:jc w:val="both"/>
        <w:rPr/>
      </w:pPr>
      <w:r>
        <w:rPr/>
        <w:t xml:space="preserve">12.2.3.1. </w:t>
      </w:r>
      <w:r>
        <w:rPr>
          <w:rFonts w:eastAsia="Calibri"/>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97">
        <w:r>
          <w:rPr>
            <w:rStyle w:val="ListLabel2"/>
            <w:rFonts w:eastAsia="Calibri"/>
          </w:rPr>
          <w:t>п. 12.2.1</w:t>
        </w:r>
      </w:hyperlink>
      <w:r>
        <w:rPr>
          <w:rFonts w:eastAsia="Calibri"/>
        </w:rPr>
        <w:t xml:space="preserve"> настоящего Положения.</w:t>
      </w:r>
    </w:p>
    <w:p>
      <w:pPr>
        <w:pStyle w:val="Normal"/>
        <w:ind w:firstLine="567"/>
        <w:jc w:val="center"/>
        <w:rPr>
          <w:b/>
          <w:b/>
          <w:bCs/>
        </w:rPr>
      </w:pPr>
      <w:r>
        <w:rPr>
          <w:b/>
          <w:bCs/>
        </w:rPr>
        <w:t>12.3. Аукционная документация</w:t>
      </w:r>
      <w:bookmarkStart w:id="114" w:name="_Hlk533591734"/>
      <w:bookmarkEnd w:id="114"/>
    </w:p>
    <w:p>
      <w:pPr>
        <w:pStyle w:val="Normal"/>
        <w:ind w:firstLine="567"/>
        <w:jc w:val="center"/>
        <w:rPr>
          <w:b/>
          <w:b/>
          <w:bCs/>
        </w:rPr>
      </w:pPr>
      <w:r>
        <w:rPr>
          <w:b/>
          <w:bCs/>
        </w:rPr>
      </w:r>
    </w:p>
    <w:p>
      <w:pPr>
        <w:pStyle w:val="Normal"/>
        <w:ind w:firstLine="567"/>
        <w:jc w:val="both"/>
        <w:rPr/>
      </w:pPr>
      <w:r>
        <w:rPr/>
        <w:t>12.3.1. Заказчик одновременно с размещением извещения о проведении открытого аукциона размещает в единой информационной системе аукционную документацию.</w:t>
      </w:r>
    </w:p>
    <w:p>
      <w:pPr>
        <w:pStyle w:val="Normal"/>
        <w:ind w:firstLine="567"/>
        <w:jc w:val="both"/>
        <w:rPr/>
      </w:pPr>
      <w:r>
        <w:rPr/>
        <w:t>12.3.1.1. Сведения, содержащиеся в аукционной документации, должны соответствовать сведениям, указанным в извещении о проведении открытого аукциона.</w:t>
      </w:r>
    </w:p>
    <w:p>
      <w:pPr>
        <w:pStyle w:val="Normal"/>
        <w:ind w:firstLine="567"/>
        <w:jc w:val="both"/>
        <w:rPr/>
      </w:pPr>
      <w:r>
        <w:rPr/>
        <w:t>12.3.2. В аукционной документации должны быть указаны сведения в соответствии с пунктом 8.4. настоящего Положения, а также:</w:t>
      </w:r>
    </w:p>
    <w:p>
      <w:pPr>
        <w:pStyle w:val="Normal"/>
        <w:ind w:firstLine="567"/>
        <w:jc w:val="both"/>
        <w:rPr/>
      </w:pPr>
      <w:r>
        <w:rPr/>
        <w:t>12.3.2.1.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pPr>
        <w:pStyle w:val="Normal"/>
        <w:ind w:firstLine="567"/>
        <w:jc w:val="both"/>
        <w:rPr/>
      </w:pPr>
      <w:r>
        <w:rPr/>
        <w:t>12.3.2.2. сведения о валюте, используемой для формирования цены договора и расчетов с поставщиками (исполнителями, подрядчиками);</w:t>
      </w:r>
    </w:p>
    <w:p>
      <w:pPr>
        <w:pStyle w:val="Normal"/>
        <w:ind w:firstLine="567"/>
        <w:jc w:val="both"/>
        <w:rPr/>
      </w:pPr>
      <w:r>
        <w:rPr/>
        <w:t>12.3.2.3. порядок применения официального курса иностранной валюты к рублю РФ, установленного ЦБ РФ и используемого при оплате заключенного договора;</w:t>
      </w:r>
    </w:p>
    <w:p>
      <w:pPr>
        <w:pStyle w:val="Normal"/>
        <w:ind w:firstLine="567"/>
        <w:jc w:val="both"/>
        <w:rPr/>
      </w:pPr>
      <w:r>
        <w:rPr/>
        <w:t>12.3.2.4.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ind w:firstLine="567"/>
        <w:jc w:val="both"/>
        <w:rPr/>
      </w:pPr>
      <w:r>
        <w:rPr/>
        <w:t>12.3.2.5. порядок и срок отзыва аукционных заявок, порядок внесения изменений в такие заявки;</w:t>
      </w:r>
    </w:p>
    <w:p>
      <w:pPr>
        <w:pStyle w:val="Normal"/>
        <w:ind w:firstLine="567"/>
        <w:jc w:val="both"/>
        <w:rPr/>
      </w:pPr>
      <w:r>
        <w:rPr/>
        <w:t>12.3.2.6. размер обеспечения исполнения договора, срок и порядок его предоставления;</w:t>
      </w:r>
    </w:p>
    <w:p>
      <w:pPr>
        <w:pStyle w:val="Normal"/>
        <w:ind w:firstLine="567"/>
        <w:jc w:val="both"/>
        <w:rPr/>
      </w:pPr>
      <w:r>
        <w:rPr/>
        <w:t>12.3.2.7. порядок проведения аукциона, в том числе «шаг аукциона»;</w:t>
      </w:r>
    </w:p>
    <w:p>
      <w:pPr>
        <w:pStyle w:val="Normal"/>
        <w:ind w:firstLine="567"/>
        <w:jc w:val="both"/>
        <w:rPr/>
      </w:pPr>
      <w:r>
        <w:rPr/>
        <w:t>12.3.2.8. срок подписания договора победителем, иными участниками закупки (при необходимости);</w:t>
      </w:r>
    </w:p>
    <w:p>
      <w:pPr>
        <w:pStyle w:val="Normal"/>
        <w:ind w:firstLine="567"/>
        <w:jc w:val="both"/>
        <w:rPr/>
      </w:pPr>
      <w:r>
        <w:rPr/>
        <w:t>12.3.2.9. последствия признания аукциона несостоявшимся;</w:t>
      </w:r>
    </w:p>
    <w:p>
      <w:pPr>
        <w:pStyle w:val="Normal"/>
        <w:ind w:firstLine="567"/>
        <w:jc w:val="both"/>
        <w:rPr/>
      </w:pPr>
      <w:r>
        <w:rPr/>
        <w:t>12.3.2.10. иные сведения и требования в зависимости от предмета закупки.</w:t>
      </w:r>
    </w:p>
    <w:p>
      <w:pPr>
        <w:pStyle w:val="Normal"/>
        <w:ind w:firstLine="567"/>
        <w:jc w:val="both"/>
        <w:rPr/>
      </w:pPr>
      <w:r>
        <w:rPr/>
        <w:t>12.3.3. К извещению о проведении открытого аукциона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
    <w:p>
      <w:pPr>
        <w:pStyle w:val="Normal"/>
        <w:ind w:firstLine="567"/>
        <w:jc w:val="both"/>
        <w:rPr/>
      </w:pPr>
      <w:r>
        <w:rPr/>
        <w:t>12.3.4. Предоставление аукционной документации до размещения в единой информационной системе извещения о проведении открытого аукциона не допускается.</w:t>
      </w:r>
    </w:p>
    <w:p>
      <w:pPr>
        <w:pStyle w:val="Normal"/>
        <w:ind w:firstLine="567"/>
        <w:jc w:val="both"/>
        <w:rPr/>
      </w:pPr>
      <w:r>
        <w:rPr/>
        <w:t xml:space="preserve">12.3.5. В любое время до истечения срока представления аукционных заявок заказчик вправе по собственной инициативе либо в ответ на запрос претендента внести изменения в аукционную документацию. В течение трех дней со дня принятия решения о необходимости изменения извещения о проведении открытого аукциона такие изменения размещаются в единой информационной системе. </w:t>
      </w:r>
    </w:p>
    <w:p>
      <w:pPr>
        <w:pStyle w:val="Normal"/>
        <w:ind w:firstLine="567"/>
        <w:jc w:val="both"/>
        <w:rPr/>
      </w:pPr>
      <w:r>
        <w:rPr/>
        <w:t xml:space="preserve">12.3.5.1. </w:t>
      </w:r>
      <w:r>
        <w:rPr>
          <w:rFonts w:eastAsia="Calibri"/>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98">
        <w:r>
          <w:rPr>
            <w:rStyle w:val="ListLabel2"/>
            <w:rFonts w:eastAsia="Calibri"/>
          </w:rPr>
          <w:t>п. 12.2.</w:t>
        </w:r>
      </w:hyperlink>
      <w:r>
        <w:rPr>
          <w:rFonts w:eastAsia="Calibri"/>
        </w:rPr>
        <w:t>1 настоящего Положения.</w:t>
      </w:r>
    </w:p>
    <w:p>
      <w:pPr>
        <w:pStyle w:val="Normal"/>
        <w:ind w:firstLine="567"/>
        <w:jc w:val="both"/>
        <w:rPr/>
      </w:pPr>
      <w:r>
        <w:rPr/>
        <w:t>12.3.5.2. Любой претендент вправе направить заказчику запрос разъяснений положений аукционной документации в письменной форме или в форме электронного документа в срок не позднее чем за 7 рабочих дней до дня окончания подачи аукционных заявок. Заказчик в течение 2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в единой информационной системе.</w:t>
      </w:r>
    </w:p>
    <w:p>
      <w:pPr>
        <w:pStyle w:val="Normal"/>
        <w:ind w:firstLine="567"/>
        <w:jc w:val="center"/>
        <w:rPr>
          <w:b/>
          <w:b/>
          <w:bCs/>
        </w:rPr>
      </w:pPr>
      <w:r>
        <w:rPr>
          <w:b/>
          <w:bCs/>
        </w:rPr>
      </w:r>
    </w:p>
    <w:p>
      <w:pPr>
        <w:pStyle w:val="Normal"/>
        <w:ind w:firstLine="567"/>
        <w:jc w:val="center"/>
        <w:rPr>
          <w:b/>
          <w:b/>
          <w:bCs/>
        </w:rPr>
      </w:pPr>
      <w:r>
        <w:rPr>
          <w:b/>
          <w:bCs/>
        </w:rPr>
      </w:r>
    </w:p>
    <w:p>
      <w:pPr>
        <w:pStyle w:val="Normal"/>
        <w:ind w:firstLine="567"/>
        <w:jc w:val="center"/>
        <w:rPr>
          <w:b/>
          <w:b/>
          <w:bCs/>
        </w:rPr>
      </w:pPr>
      <w:r>
        <w:rPr>
          <w:b/>
          <w:bCs/>
        </w:rPr>
      </w:r>
    </w:p>
    <w:p>
      <w:pPr>
        <w:pStyle w:val="Normal"/>
        <w:ind w:firstLine="567"/>
        <w:jc w:val="center"/>
        <w:rPr>
          <w:b/>
          <w:b/>
          <w:bCs/>
        </w:rPr>
      </w:pPr>
      <w:r>
        <w:rPr>
          <w:b/>
          <w:bCs/>
        </w:rPr>
        <w:t>12.4. Отказ от проведения аукциона</w:t>
      </w:r>
      <w:bookmarkStart w:id="115" w:name="_Hlk533591775"/>
      <w:bookmarkEnd w:id="115"/>
    </w:p>
    <w:p>
      <w:pPr>
        <w:pStyle w:val="Normal"/>
        <w:spacing w:before="0" w:after="0"/>
        <w:ind w:firstLine="567"/>
        <w:contextualSpacing/>
        <w:jc w:val="center"/>
        <w:rPr>
          <w:b/>
          <w:b/>
          <w:bCs/>
        </w:rPr>
      </w:pPr>
      <w:r>
        <w:rPr>
          <w:b/>
          <w:bCs/>
        </w:rPr>
      </w:r>
    </w:p>
    <w:p>
      <w:pPr>
        <w:pStyle w:val="Normal"/>
        <w:spacing w:before="0" w:after="0"/>
        <w:ind w:firstLine="567"/>
        <w:contextualSpacing/>
        <w:jc w:val="both"/>
        <w:rPr/>
      </w:pPr>
      <w:r>
        <w:rPr/>
        <w:t xml:space="preserve">12.4.1. Заказчик вправе принять решение об отказе от проведения открытого аукциона по одному и более предмету закупки (лоту) до наступления даты и времени окончания срока подачи заявок на участие в закупке. </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pPr>
        <w:pStyle w:val="Normal"/>
        <w:spacing w:before="0" w:after="0"/>
        <w:ind w:firstLine="567"/>
        <w:contextualSpacing/>
        <w:jc w:val="both"/>
        <w:rPr/>
      </w:pPr>
      <w:r>
        <w:rPr/>
        <w:t>12.4.2. 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в единой информационной системе и в течение трех дней направляет по электронной почте уведомления всем участникам закупок, получившим аукционную документацию на бумажном носителе и (или) направившим аукционные заявки заказчику. Заказчик не несет обязательств или ответственности в случае не ознакомления претендентами, участниками закупок с извещением об отказе от проведения открытого аукциона.</w:t>
      </w:r>
    </w:p>
    <w:p>
      <w:pPr>
        <w:pStyle w:val="Normal"/>
        <w:spacing w:before="0" w:after="0"/>
        <w:ind w:firstLine="567"/>
        <w:contextualSpacing/>
        <w:jc w:val="both"/>
        <w:rPr/>
      </w:pPr>
      <w:r>
        <w:rPr/>
        <w:t>12.4.3. Аукционные заявки, полученные до принятия решения об отказе от проведения открытого аукциона, не рассматриваются и не возвращаются.</w:t>
      </w:r>
    </w:p>
    <w:p>
      <w:pPr>
        <w:pStyle w:val="Normal"/>
        <w:ind w:firstLine="567"/>
        <w:jc w:val="both"/>
        <w:rPr/>
      </w:pPr>
      <w:r>
        <w:rPr/>
      </w:r>
    </w:p>
    <w:p>
      <w:pPr>
        <w:pStyle w:val="Normal"/>
        <w:ind w:firstLine="567"/>
        <w:jc w:val="center"/>
        <w:rPr>
          <w:b/>
          <w:b/>
          <w:bCs/>
        </w:rPr>
      </w:pPr>
      <w:bookmarkStart w:id="116" w:name="_Hlk533591799"/>
      <w:r>
        <w:rPr>
          <w:b/>
          <w:bCs/>
        </w:rPr>
        <w:t>12.5. Требования к аукционной заявке</w:t>
      </w:r>
      <w:bookmarkEnd w:id="116"/>
    </w:p>
    <w:p>
      <w:pPr>
        <w:pStyle w:val="Normal"/>
        <w:ind w:firstLine="567"/>
        <w:jc w:val="center"/>
        <w:rPr>
          <w:b/>
          <w:b/>
          <w:bCs/>
        </w:rPr>
      </w:pPr>
      <w:r>
        <w:rPr>
          <w:b/>
          <w:bCs/>
        </w:rPr>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12.5.1. Для участия в аукционе претендент должен подготовить аукционную заявку, оформленную в полном соответствии с требованиями аукционной документации.</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pPr>
        <w:pStyle w:val="Normal"/>
        <w:spacing w:before="0" w:after="0"/>
        <w:ind w:firstLine="567"/>
        <w:contextualSpacing/>
        <w:jc w:val="both"/>
        <w:rPr/>
      </w:pPr>
      <w:r>
        <w:rPr/>
        <w:t>12.5.2. Аукционная заявка в обязательном порядке должна содержать:</w:t>
      </w:r>
    </w:p>
    <w:p>
      <w:pPr>
        <w:pStyle w:val="Normal"/>
        <w:spacing w:before="0" w:after="0"/>
        <w:ind w:firstLine="567"/>
        <w:contextualSpacing/>
        <w:jc w:val="both"/>
        <w:rPr/>
      </w:pPr>
      <w:r>
        <w:rPr/>
        <w:t>12.5.2.1. для юридического лица:</w:t>
      </w:r>
    </w:p>
    <w:p>
      <w:pPr>
        <w:pStyle w:val="Normal"/>
        <w:ind w:firstLine="567"/>
        <w:jc w:val="both"/>
        <w:rPr>
          <w:color w:val="FF0000"/>
        </w:rPr>
      </w:pPr>
      <w:r>
        <w:rPr/>
        <w:t>а) заполненную форму аукционной заявки в соответствии с требованиями аукционной документации;</w:t>
      </w:r>
    </w:p>
    <w:p>
      <w:pPr>
        <w:pStyle w:val="Normal"/>
        <w:ind w:firstLine="567"/>
        <w:jc w:val="both"/>
        <w:rPr>
          <w:color w:val="FF0000"/>
        </w:rPr>
      </w:pPr>
      <w:r>
        <w:rPr/>
        <w:t>б) анкету юридического лица по установленной в аукционной документации форме;</w:t>
      </w:r>
    </w:p>
    <w:p>
      <w:pPr>
        <w:pStyle w:val="Normal"/>
        <w:ind w:firstLine="567"/>
        <w:jc w:val="both"/>
        <w:rPr>
          <w:color w:val="92D050"/>
        </w:rPr>
      </w:pPr>
      <w:r>
        <w:rPr/>
        <w:t>в) копии учредительных документов с приложением имеющихся изменений;</w:t>
      </w:r>
    </w:p>
    <w:p>
      <w:pPr>
        <w:pStyle w:val="Normal"/>
        <w:ind w:firstLine="567"/>
        <w:jc w:val="both"/>
        <w:rPr/>
      </w:pPr>
      <w:r>
        <w:rPr/>
        <w:t>г) выписку из единого государственного реестра юридических лиц</w:t>
      </w:r>
      <w:r>
        <w:rPr>
          <w:color w:val="FF0000"/>
        </w:rPr>
        <w:t xml:space="preserve"> </w:t>
      </w:r>
      <w:r>
        <w:rPr/>
        <w:t>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открытого аукциона;</w:t>
      </w:r>
    </w:p>
    <w:p>
      <w:pPr>
        <w:pStyle w:val="Normal"/>
        <w:ind w:firstLine="567"/>
        <w:jc w:val="both"/>
        <w:rPr/>
      </w:pPr>
      <w:r>
        <w:rPr/>
        <w:t>д) решение об одобрении или о совершении крупной сделки</w:t>
      </w:r>
      <w:r>
        <w:rPr>
          <w:color w:val="FF0000"/>
        </w:rPr>
        <w:t xml:space="preserve"> </w:t>
      </w:r>
      <w:r>
        <w:rPr/>
        <w:t>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w:t>
      </w:r>
    </w:p>
    <w:p>
      <w:pPr>
        <w:pStyle w:val="Normal"/>
        <w:spacing w:before="0" w:after="0"/>
        <w:ind w:firstLine="567"/>
        <w:contextualSpacing/>
        <w:jc w:val="both"/>
        <w:rPr>
          <w:rFonts w:eastAsia="Calibri"/>
        </w:rPr>
      </w:pPr>
      <w:r>
        <w:rPr>
          <w:rFonts w:eastAsia="Calibri"/>
        </w:rPr>
        <w:t>е) документ, декларирующий следующее:</w:t>
      </w:r>
    </w:p>
    <w:p>
      <w:pPr>
        <w:pStyle w:val="Normal"/>
        <w:spacing w:before="0" w:after="0"/>
        <w:ind w:firstLine="567"/>
        <w:contextualSpacing/>
        <w:jc w:val="both"/>
        <w:rPr>
          <w:rFonts w:eastAsia="Calibri"/>
        </w:rPr>
      </w:pPr>
      <w:r>
        <w:rPr>
          <w:rFonts w:eastAsia="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Normal"/>
        <w:spacing w:before="0" w:after="0"/>
        <w:ind w:firstLine="567"/>
        <w:contextualSpacing/>
        <w:jc w:val="both"/>
        <w:rPr/>
      </w:pPr>
      <w:r>
        <w:rPr>
          <w:rFonts w:eastAsia="Calibri"/>
        </w:rPr>
        <w:t xml:space="preserve">- на день подачи заявки деятельность участника закупки не приостановлена в порядке, предусмотренном </w:t>
      </w:r>
      <w:hyperlink r:id="rId99">
        <w:r>
          <w:rPr>
            <w:rStyle w:val="ListLabel2"/>
            <w:rFonts w:eastAsia="Calibri"/>
          </w:rPr>
          <w:t>Кодексом</w:t>
        </w:r>
      </w:hyperlink>
      <w:r>
        <w:rPr>
          <w:rFonts w:eastAsia="Calibri"/>
        </w:rPr>
        <w:t xml:space="preserve"> РФ об административных правонарушениях;</w:t>
      </w:r>
    </w:p>
    <w:p>
      <w:pPr>
        <w:pStyle w:val="Normal"/>
        <w:spacing w:before="0" w:after="0"/>
        <w:ind w:firstLine="567"/>
        <w:contextualSpacing/>
        <w:jc w:val="both"/>
        <w:rPr>
          <w:rFonts w:eastAsia="Calibri"/>
        </w:rPr>
      </w:pPr>
      <w:r>
        <w:rPr>
          <w:rFonts w:eastAsia="Calibri"/>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Normal"/>
        <w:spacing w:before="0" w:after="0"/>
        <w:ind w:firstLine="567"/>
        <w:contextualSpacing/>
        <w:jc w:val="both"/>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100">
        <w:r>
          <w:rPr>
            <w:rStyle w:val="ListLabel2"/>
            <w:rFonts w:eastAsia="Calibri"/>
          </w:rPr>
          <w:t>Законом</w:t>
        </w:r>
      </w:hyperlink>
      <w:r>
        <w:rPr>
          <w:rFonts w:eastAsia="Calibri"/>
        </w:rPr>
        <w:t xml:space="preserve"> N 223-ФЗ и </w:t>
      </w:r>
      <w:hyperlink r:id="rId101">
        <w:r>
          <w:rPr>
            <w:rStyle w:val="ListLabel2"/>
            <w:rFonts w:eastAsia="Calibri"/>
          </w:rPr>
          <w:t>Законом</w:t>
        </w:r>
      </w:hyperlink>
      <w:r>
        <w:rPr>
          <w:rFonts w:eastAsia="Calibri"/>
        </w:rPr>
        <w:t xml:space="preserve"> N 44-ФЗ;</w:t>
      </w:r>
    </w:p>
    <w:p>
      <w:pPr>
        <w:pStyle w:val="Normal"/>
        <w:spacing w:before="0" w:after="0"/>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Normal"/>
        <w:spacing w:before="0" w:after="0"/>
        <w:ind w:firstLine="567"/>
        <w:contextualSpacing/>
        <w:jc w:val="both"/>
        <w:rPr/>
      </w:pPr>
      <w:r>
        <w:rPr/>
        <w:t>ж)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pPr>
        <w:pStyle w:val="Normal"/>
        <w:ind w:firstLine="567"/>
        <w:jc w:val="both"/>
        <w:rPr/>
      </w:pPr>
      <w:r>
        <w:rPr/>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аукционная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pPr>
        <w:pStyle w:val="Normal"/>
        <w:ind w:firstLine="567"/>
        <w:jc w:val="both"/>
        <w:rPr/>
      </w:pPr>
      <w:r>
        <w:rPr/>
        <w:t>и)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ind w:firstLine="567"/>
        <w:jc w:val="both"/>
        <w:rPr>
          <w:color w:val="FF0000"/>
        </w:rPr>
      </w:pPr>
      <w:r>
        <w:rPr/>
        <w:t>к) документ, подтверждающий внесение участником закупки обеспечения аукционной заявки (оригинал) (при необходимости)</w:t>
      </w:r>
      <w:r>
        <w:rPr>
          <w:color w:val="FF0000"/>
        </w:rPr>
        <w:t>;</w:t>
      </w:r>
    </w:p>
    <w:p>
      <w:pPr>
        <w:pStyle w:val="Normal"/>
        <w:ind w:firstLine="567"/>
        <w:jc w:val="both"/>
        <w:rPr/>
      </w:pPr>
      <w:r>
        <w:rPr/>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pPr>
        <w:pStyle w:val="Normal"/>
        <w:ind w:firstLine="567"/>
        <w:jc w:val="both"/>
        <w:rPr/>
      </w:pPr>
      <w:r>
        <w:rPr/>
        <w:t>м)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pPr>
        <w:pStyle w:val="Normal"/>
        <w:ind w:firstLine="567"/>
        <w:jc w:val="both"/>
        <w:rPr/>
      </w:pPr>
      <w:r>
        <w:rPr/>
        <w:t>12.5.2.2. для индивидуального предпринимателя:</w:t>
      </w:r>
    </w:p>
    <w:p>
      <w:pPr>
        <w:pStyle w:val="Normal"/>
        <w:ind w:firstLine="567"/>
        <w:jc w:val="both"/>
        <w:rPr/>
      </w:pPr>
      <w:r>
        <w:rPr/>
        <w:t>а) заполненную форму аукционной заявки в соответствии с требованиями аукционной документации (оригинал);</w:t>
      </w:r>
    </w:p>
    <w:p>
      <w:pPr>
        <w:pStyle w:val="Normal"/>
        <w:ind w:firstLine="567"/>
        <w:jc w:val="both"/>
        <w:rPr/>
      </w:pPr>
      <w:r>
        <w:rPr/>
        <w:t>б) фамилию, имя, отчество, паспортные данные, сведения о месте жительства, номер контактного телефона;</w:t>
      </w:r>
    </w:p>
    <w:p>
      <w:pPr>
        <w:pStyle w:val="Normal"/>
        <w:ind w:firstLine="567"/>
        <w:jc w:val="both"/>
        <w:rPr/>
      </w:pPr>
      <w:r>
        <w:rPr/>
        <w:t>в)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20 дней до дня размещения на официальном сайте извещения о проведении открытого аукциона;</w:t>
      </w:r>
    </w:p>
    <w:p>
      <w:pPr>
        <w:pStyle w:val="Normal"/>
        <w:spacing w:before="0" w:after="0"/>
        <w:ind w:firstLine="567"/>
        <w:contextualSpacing/>
        <w:jc w:val="both"/>
        <w:rPr>
          <w:rFonts w:eastAsia="Calibri"/>
        </w:rPr>
      </w:pPr>
      <w:r>
        <w:rPr/>
        <w:t>г</w:t>
      </w:r>
      <w:r>
        <w:rPr>
          <w:rFonts w:eastAsia="Calibri"/>
        </w:rPr>
        <w:t>) документ, декларирующий следующее:</w:t>
      </w:r>
    </w:p>
    <w:p>
      <w:pPr>
        <w:pStyle w:val="Normal"/>
        <w:spacing w:before="0" w:after="0"/>
        <w:ind w:firstLine="567"/>
        <w:contextualSpacing/>
        <w:jc w:val="both"/>
        <w:rPr>
          <w:rFonts w:eastAsia="Calibri"/>
        </w:rPr>
      </w:pPr>
      <w:r>
        <w:rPr>
          <w:rFonts w:eastAsia="Calibri"/>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pPr>
        <w:pStyle w:val="Normal"/>
        <w:spacing w:before="0" w:after="0"/>
        <w:ind w:firstLine="567"/>
        <w:contextualSpacing/>
        <w:jc w:val="both"/>
        <w:rPr/>
      </w:pPr>
      <w:r>
        <w:rPr>
          <w:rFonts w:eastAsia="Calibri"/>
        </w:rPr>
        <w:t xml:space="preserve">- на день подачи заявки деятельность участника закупки не приостановлена в порядке, предусмотренном </w:t>
      </w:r>
      <w:hyperlink r:id="rId102">
        <w:r>
          <w:rPr>
            <w:rStyle w:val="ListLabel2"/>
            <w:rFonts w:eastAsia="Calibri"/>
          </w:rPr>
          <w:t>Кодексом</w:t>
        </w:r>
      </w:hyperlink>
      <w:r>
        <w:rPr>
          <w:rFonts w:eastAsia="Calibri"/>
        </w:rPr>
        <w:t xml:space="preserve"> РФ об административных правонарушениях;</w:t>
      </w:r>
    </w:p>
    <w:p>
      <w:pPr>
        <w:pStyle w:val="Normal"/>
        <w:spacing w:before="0" w:after="0"/>
        <w:ind w:firstLine="567"/>
        <w:contextualSpacing/>
        <w:jc w:val="both"/>
        <w:rPr>
          <w:rFonts w:eastAsia="Calibri"/>
        </w:rPr>
      </w:pPr>
      <w:r>
        <w:rPr>
          <w:rFonts w:eastAsia="Calibri"/>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pPr>
        <w:pStyle w:val="Normal"/>
        <w:spacing w:before="0" w:after="0"/>
        <w:ind w:firstLine="567"/>
        <w:contextualSpacing/>
        <w:jc w:val="both"/>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103">
        <w:r>
          <w:rPr>
            <w:rStyle w:val="ListLabel2"/>
            <w:rFonts w:eastAsia="Calibri"/>
          </w:rPr>
          <w:t>Законом</w:t>
        </w:r>
      </w:hyperlink>
      <w:r>
        <w:rPr>
          <w:rFonts w:eastAsia="Calibri"/>
        </w:rPr>
        <w:t xml:space="preserve"> N 223-ФЗ и </w:t>
      </w:r>
      <w:hyperlink r:id="rId104">
        <w:r>
          <w:rPr>
            <w:rStyle w:val="ListLabel2"/>
            <w:rFonts w:eastAsia="Calibri"/>
          </w:rPr>
          <w:t>Законом</w:t>
        </w:r>
      </w:hyperlink>
      <w:r>
        <w:rPr>
          <w:rFonts w:eastAsia="Calibri"/>
        </w:rPr>
        <w:t xml:space="preserve"> N 44-ФЗ;</w:t>
      </w:r>
    </w:p>
    <w:p>
      <w:pPr>
        <w:pStyle w:val="Normal"/>
        <w:spacing w:before="0" w:after="0"/>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Normal"/>
        <w:spacing w:before="0" w:after="0"/>
        <w:ind w:firstLine="567"/>
        <w:contextualSpacing/>
        <w:jc w:val="both"/>
        <w:rPr/>
      </w:pPr>
      <w:r>
        <w:rPr/>
        <w:t>д)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pPr>
        <w:pStyle w:val="Normal"/>
        <w:ind w:firstLine="567"/>
        <w:jc w:val="both"/>
        <w:rPr/>
      </w:pPr>
      <w:r>
        <w:rPr/>
        <w:t>е)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ind w:firstLine="567"/>
        <w:jc w:val="both"/>
        <w:rPr>
          <w:color w:val="FF0000"/>
        </w:rPr>
      </w:pPr>
      <w:r>
        <w:rPr/>
        <w:t>ж) документ, подтверждающий внесение участником закупки обеспечения аукционной заявки (оригинал) (при необходимости)</w:t>
      </w:r>
      <w:r>
        <w:rPr>
          <w:color w:val="FF0000"/>
        </w:rPr>
        <w:t>;</w:t>
      </w:r>
    </w:p>
    <w:p>
      <w:pPr>
        <w:pStyle w:val="Normal"/>
        <w:ind w:firstLine="567"/>
        <w:jc w:val="both"/>
        <w:rPr/>
      </w:pPr>
      <w:r>
        <w:rPr/>
        <w:t>з)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pPr>
        <w:pStyle w:val="Normal"/>
        <w:ind w:firstLine="567"/>
        <w:jc w:val="both"/>
        <w:rPr/>
      </w:pPr>
      <w:r>
        <w:rPr/>
        <w:t>12.5.2.3. для физического лица:</w:t>
      </w:r>
    </w:p>
    <w:p>
      <w:pPr>
        <w:pStyle w:val="Normal"/>
        <w:ind w:firstLine="567"/>
        <w:jc w:val="both"/>
        <w:rPr/>
      </w:pPr>
      <w:r>
        <w:rPr/>
        <w:t>а) заполненную форму аукционной заявки в соответствии с требованиями аукционной документации;</w:t>
      </w:r>
    </w:p>
    <w:p>
      <w:pPr>
        <w:pStyle w:val="Normal"/>
        <w:ind w:firstLine="567"/>
        <w:jc w:val="both"/>
        <w:rPr/>
      </w:pPr>
      <w:r>
        <w:rPr/>
        <w:t>б) фамилию, имя, отчество, паспортные данные, сведения о месте жительства, номер контактного телефона;</w:t>
      </w:r>
    </w:p>
    <w:p>
      <w:pPr>
        <w:pStyle w:val="Normal"/>
        <w:ind w:firstLine="567"/>
        <w:jc w:val="both"/>
        <w:rPr/>
      </w:pPr>
      <w:r>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(оригиналы или копии);</w:t>
      </w:r>
    </w:p>
    <w:p>
      <w:pPr>
        <w:pStyle w:val="Normal"/>
        <w:ind w:firstLine="567"/>
        <w:jc w:val="both"/>
        <w:rPr/>
      </w:pPr>
      <w:r>
        <w:rPr/>
        <w:t>г)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pPr>
        <w:pStyle w:val="Normal"/>
        <w:ind w:firstLine="567"/>
        <w:jc w:val="both"/>
        <w:rPr/>
      </w:pPr>
      <w:r>
        <w:rPr/>
        <w:t>д) документ, подтверждающий внесение участником закупки обеспечения аукционной заявки (оригинал) (при необходимости);</w:t>
      </w:r>
    </w:p>
    <w:p>
      <w:pPr>
        <w:pStyle w:val="Normal"/>
        <w:spacing w:before="0" w:after="0"/>
        <w:ind w:firstLine="567"/>
        <w:contextualSpacing/>
        <w:jc w:val="both"/>
        <w:rPr>
          <w:rFonts w:eastAsia="Calibri"/>
        </w:rPr>
      </w:pPr>
      <w:r>
        <w:rPr/>
        <w:t xml:space="preserve">е) </w:t>
      </w:r>
      <w:r>
        <w:rPr>
          <w:rFonts w:eastAsia="Calibri"/>
        </w:rPr>
        <w:t>документ, декларирующий следующее:</w:t>
      </w:r>
    </w:p>
    <w:p>
      <w:pPr>
        <w:pStyle w:val="Normal"/>
        <w:spacing w:before="0" w:after="0"/>
        <w:ind w:firstLine="567"/>
        <w:contextualSpacing/>
        <w:jc w:val="both"/>
        <w:rPr>
          <w:rFonts w:eastAsia="Calibri"/>
        </w:rPr>
      </w:pPr>
      <w:r>
        <w:rPr>
          <w:rFonts w:eastAsia="Calibri"/>
        </w:rPr>
        <w:t>- участник закупки не признан по решению арбитражного суда несостоятельным (банкротом) (для участника - как юридического, так и физического лица);</w:t>
      </w:r>
    </w:p>
    <w:p>
      <w:pPr>
        <w:pStyle w:val="Normal"/>
        <w:spacing w:before="0" w:after="0"/>
        <w:ind w:firstLine="567"/>
        <w:contextualSpacing/>
        <w:jc w:val="both"/>
        <w:rPr/>
      </w:pPr>
      <w:r>
        <w:rPr>
          <w:rFonts w:eastAsia="Calibri"/>
        </w:rPr>
        <w:t xml:space="preserve">- сведения об участнике закупки отсутствуют в реестрах недобросовестных поставщиков, ведение которых предусмотрено </w:t>
      </w:r>
      <w:hyperlink r:id="rId105">
        <w:r>
          <w:rPr>
            <w:rStyle w:val="ListLabel2"/>
            <w:rFonts w:eastAsia="Calibri"/>
          </w:rPr>
          <w:t>Законом</w:t>
        </w:r>
      </w:hyperlink>
      <w:r>
        <w:rPr>
          <w:rFonts w:eastAsia="Calibri"/>
        </w:rPr>
        <w:t xml:space="preserve"> N 223-ФЗ и </w:t>
      </w:r>
      <w:hyperlink r:id="rId106">
        <w:r>
          <w:rPr>
            <w:rStyle w:val="ListLabel2"/>
            <w:rFonts w:eastAsia="Calibri"/>
          </w:rPr>
          <w:t>Законом</w:t>
        </w:r>
      </w:hyperlink>
      <w:r>
        <w:rPr>
          <w:rFonts w:eastAsia="Calibri"/>
        </w:rPr>
        <w:t xml:space="preserve"> N 44-ФЗ;</w:t>
      </w:r>
    </w:p>
    <w:p>
      <w:pPr>
        <w:pStyle w:val="Normal"/>
        <w:spacing w:before="0" w:after="0"/>
        <w:ind w:firstLine="567"/>
        <w:contextualSpacing/>
        <w:jc w:val="both"/>
        <w:rPr>
          <w:rFonts w:eastAsia="Calibri"/>
        </w:rPr>
      </w:pPr>
      <w:r>
        <w:rPr>
          <w:rFonts w:eastAsia="Calibri"/>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pPr>
        <w:pStyle w:val="Normal"/>
        <w:ind w:firstLine="567"/>
        <w:jc w:val="both"/>
        <w:rPr/>
      </w:pPr>
      <w:r>
        <w:rPr/>
        <w:t>ж) иные документы или копии документов, перечень которых определен аукционной документацией, подтверждающие соответствие аукционной заявки участника закупки требованиям, установленным в аукционной документации.</w:t>
      </w:r>
    </w:p>
    <w:p>
      <w:pPr>
        <w:pStyle w:val="Normal"/>
        <w:ind w:firstLine="567"/>
        <w:jc w:val="both"/>
        <w:rPr/>
      </w:pPr>
      <w:r>
        <w:rPr/>
        <w:t>12.5.2.4. для группы (нескольких лиц) лиц, выступающих на стороне одного участника закупки:</w:t>
      </w:r>
    </w:p>
    <w:p>
      <w:pPr>
        <w:pStyle w:val="Normal"/>
        <w:ind w:firstLine="567"/>
        <w:jc w:val="both"/>
        <w:rPr/>
      </w:pPr>
      <w:r>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аукционе от имени группы лиц, в том числе подавать аукционную заявку, вносить обеспечение заявки, договора, подписывать протоколы, договор;</w:t>
      </w:r>
    </w:p>
    <w:p>
      <w:pPr>
        <w:pStyle w:val="Normal"/>
        <w:ind w:firstLine="567"/>
        <w:jc w:val="both"/>
        <w:rPr/>
      </w:pPr>
      <w:r>
        <w:rPr/>
        <w:t>б) документы и сведения в соответствии с пунктом 12.5.2.1 или пунктами 12.5.2.2,   12.5.2.3. настоящего Положения участника закупки, которому от имени группы лиц поручено подать аукционную заявку.</w:t>
      </w:r>
    </w:p>
    <w:p>
      <w:pPr>
        <w:pStyle w:val="Normal"/>
        <w:ind w:firstLine="567"/>
        <w:jc w:val="both"/>
        <w:rPr/>
      </w:pPr>
      <w:r>
        <w:rPr/>
        <w:t>12.5.3. Иные требования к аукционной заявке устанавливаются в аукционной документации в зависимости от предмета закупки.</w:t>
      </w:r>
    </w:p>
    <w:p>
      <w:pPr>
        <w:pStyle w:val="Normal"/>
        <w:ind w:firstLine="567"/>
        <w:jc w:val="both"/>
        <w:rPr/>
      </w:pPr>
      <w:r>
        <w:rPr/>
      </w:r>
    </w:p>
    <w:p>
      <w:pPr>
        <w:pStyle w:val="Normal"/>
        <w:ind w:firstLine="567"/>
        <w:jc w:val="center"/>
        <w:rPr>
          <w:b/>
          <w:b/>
          <w:bCs/>
        </w:rPr>
      </w:pPr>
      <w:r>
        <w:rPr>
          <w:b/>
          <w:bCs/>
        </w:rPr>
        <w:t>12.6. Обеспечение аукционной заявки</w:t>
      </w:r>
    </w:p>
    <w:p>
      <w:pPr>
        <w:pStyle w:val="Normal"/>
        <w:ind w:firstLine="567"/>
        <w:jc w:val="center"/>
        <w:rPr>
          <w:b/>
          <w:b/>
          <w:bCs/>
        </w:rPr>
      </w:pPr>
      <w:r>
        <w:rPr>
          <w:b/>
          <w:bCs/>
        </w:rPr>
      </w:r>
      <w:bookmarkStart w:id="117" w:name="_Hlk533591823"/>
      <w:bookmarkStart w:id="118" w:name="_Hlk533591823"/>
      <w:bookmarkEnd w:id="118"/>
    </w:p>
    <w:p>
      <w:pPr>
        <w:pStyle w:val="Normal"/>
        <w:spacing w:before="0" w:after="0"/>
        <w:ind w:firstLine="567"/>
        <w:contextualSpacing/>
        <w:jc w:val="both"/>
        <w:rPr/>
      </w:pPr>
      <w:r>
        <w:rPr/>
        <w:t>12.6.1. Если начальная (максимальная) цена договора превышает 5 млн руб., то Заказчик вправе установить в аукционной документации (извещении об аукционе)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pPr>
        <w:pStyle w:val="Normal"/>
        <w:spacing w:before="0" w:after="0"/>
        <w:ind w:firstLine="567"/>
        <w:contextualSpacing/>
        <w:jc w:val="both"/>
        <w:rPr/>
      </w:pPr>
      <w:r>
        <w:rPr>
          <w:rFonts w:eastAsia="Calibri"/>
        </w:rPr>
        <w:t xml:space="preserve">12.6.2. Обеспечение аукционной заявки на участие в аукционе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107">
        <w:r>
          <w:rPr>
            <w:rStyle w:val="ListLabel2"/>
            <w:rFonts w:eastAsia="Calibri"/>
          </w:rPr>
          <w:t>кодексом</w:t>
        </w:r>
      </w:hyperlink>
      <w:r>
        <w:rPr>
          <w:rFonts w:eastAsia="Calibri"/>
        </w:rPr>
        <w:t xml:space="preserve"> РФ, за исключением проведения закупки в соответствии со </w:t>
      </w:r>
      <w:hyperlink r:id="rId108">
        <w:r>
          <w:rPr>
            <w:rStyle w:val="ListLabel2"/>
            <w:rFonts w:eastAsia="Calibri"/>
          </w:rPr>
          <w:t>ст. 3.4</w:t>
        </w:r>
      </w:hyperlink>
      <w:r>
        <w:rPr>
          <w:rFonts w:eastAsia="Calibri"/>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pPr>
        <w:pStyle w:val="Normal"/>
        <w:spacing w:before="0" w:after="0"/>
        <w:ind w:firstLine="567"/>
        <w:contextualSpacing/>
        <w:jc w:val="both"/>
        <w:rPr>
          <w:rFonts w:eastAsia="Calibri"/>
        </w:rPr>
      </w:pPr>
      <w:r>
        <w:rPr/>
        <w:t xml:space="preserve">12.6.3. </w:t>
      </w:r>
      <w:r>
        <w:rPr>
          <w:rFonts w:eastAsia="Calibri"/>
        </w:rPr>
        <w:t>Возврат участнику конкурентной закупки обеспечения заявки на участие в закупке не производится в следующих случаях:</w:t>
      </w:r>
    </w:p>
    <w:p>
      <w:pPr>
        <w:pStyle w:val="Normal"/>
        <w:spacing w:before="0" w:after="0"/>
        <w:ind w:firstLine="567"/>
        <w:contextualSpacing/>
        <w:jc w:val="both"/>
        <w:rPr>
          <w:rFonts w:eastAsia="Calibri"/>
        </w:rPr>
      </w:pPr>
      <w:r>
        <w:rPr>
          <w:rFonts w:eastAsia="Calibri"/>
        </w:rPr>
        <w:t>1) уклонение или отказ участника закупки от заключения договора;</w:t>
      </w:r>
    </w:p>
    <w:p>
      <w:pPr>
        <w:pStyle w:val="Normal"/>
        <w:spacing w:before="0" w:after="0"/>
        <w:ind w:firstLine="567"/>
        <w:contextualSpacing/>
        <w:jc w:val="both"/>
        <w:rPr>
          <w:rFonts w:eastAsia="Calibri"/>
        </w:rPr>
      </w:pPr>
      <w:r>
        <w:rPr>
          <w:rFonts w:eastAsia="Calibri"/>
        </w:rPr>
        <w:t>2) 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Normal"/>
        <w:ind w:firstLine="567"/>
        <w:jc w:val="both"/>
        <w:rPr/>
      </w:pPr>
      <w:r>
        <w:rPr/>
        <w:t>12.6.4. Обеспечение аукционной заявки возвращается:</w:t>
      </w:r>
    </w:p>
    <w:p>
      <w:pPr>
        <w:pStyle w:val="Normal"/>
        <w:ind w:firstLine="567"/>
        <w:jc w:val="both"/>
        <w:rPr/>
      </w:pPr>
      <w:r>
        <w:rPr/>
        <w:t>12.6.4.1. участникам закупки, претендентам, внесшим обеспечение аукционных заявок – в течение 7 рабочих дней со дня принятия решения об отказе от проведения аукциона;</w:t>
      </w:r>
    </w:p>
    <w:p>
      <w:pPr>
        <w:pStyle w:val="Normal"/>
        <w:ind w:firstLine="567"/>
        <w:jc w:val="both"/>
        <w:rPr/>
      </w:pPr>
      <w:r>
        <w:rPr/>
        <w:t>12.6.4.2. участнику закупки, подавшему аукционную заявку, полученную после окончания приема аукционных заявок – в течение 7 рабочих дней со дня получения такой заявки;</w:t>
      </w:r>
    </w:p>
    <w:p>
      <w:pPr>
        <w:pStyle w:val="Normal"/>
        <w:ind w:firstLine="567"/>
        <w:jc w:val="both"/>
        <w:rPr/>
      </w:pPr>
      <w:r>
        <w:rPr/>
        <w:t>12.6.4.3. участнику закупки, подавшему аукционную заявку и отозвавшему такую заявку до дня и времени начала процедуры рассмотрения аукционных заявок – в течение 7 рабочих дней со дня поступления заказчику уведомления об отзыве аукционной заявки;</w:t>
      </w:r>
    </w:p>
    <w:p>
      <w:pPr>
        <w:pStyle w:val="Normal"/>
        <w:ind w:firstLine="567"/>
        <w:jc w:val="both"/>
        <w:rPr/>
      </w:pPr>
      <w:r>
        <w:rPr/>
        <w:t>12.6.4.4. 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7 рабочих дней со дня заключения договора с таким участником;</w:t>
      </w:r>
    </w:p>
    <w:p>
      <w:pPr>
        <w:pStyle w:val="Normal"/>
        <w:ind w:firstLine="567"/>
        <w:jc w:val="both"/>
        <w:rPr/>
      </w:pPr>
      <w:r>
        <w:rPr/>
        <w:t>12.6.4.5. участнику закупки, подавшему аукционную заявку и не допущенному к участию в аукционе – в течение 7 рабочих дней со дня подписания протокола о результатах аукциона;</w:t>
      </w:r>
    </w:p>
    <w:p>
      <w:pPr>
        <w:pStyle w:val="Normal"/>
        <w:ind w:firstLine="567"/>
        <w:jc w:val="both"/>
        <w:rPr/>
      </w:pPr>
      <w:r>
        <w:rPr/>
        <w:t>12.6.4.6. единственному участнику закупки, признанному участником аукциона – в течение 7 рабочих дней со дня заключения договора с таким участником;</w:t>
      </w:r>
    </w:p>
    <w:p>
      <w:pPr>
        <w:pStyle w:val="Normal"/>
        <w:ind w:firstLine="567"/>
        <w:jc w:val="both"/>
        <w:rPr/>
      </w:pPr>
      <w:r>
        <w:rPr/>
        <w:t>12.6.4.7. участнику закупки, признанному участником аукциона, единственному прошедшему регистрацию на участие в аукционе – в течение 7 рабочих дней со дня заключения договора с таким участником;</w:t>
      </w:r>
    </w:p>
    <w:p>
      <w:pPr>
        <w:pStyle w:val="Normal"/>
        <w:ind w:firstLine="567"/>
        <w:jc w:val="both"/>
        <w:rPr/>
      </w:pPr>
      <w:r>
        <w:rPr/>
        <w:t>12.6.4.8. 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 в течение 7 рабочих дней со дня подписания протокола о результатах аукциона;</w:t>
      </w:r>
    </w:p>
    <w:p>
      <w:pPr>
        <w:pStyle w:val="Normal"/>
        <w:ind w:firstLine="567"/>
        <w:jc w:val="both"/>
        <w:rPr/>
      </w:pPr>
      <w:r>
        <w:rPr/>
        <w:t>12.6.4.9. участнику аукциона, сделавшему предпоследнее предложение о цене договора – в течение 7 рабочих дней со дня заключения договора с победителем аукциона или с таким участником аукциона;</w:t>
      </w:r>
    </w:p>
    <w:p>
      <w:pPr>
        <w:pStyle w:val="Normal"/>
        <w:ind w:firstLine="567"/>
        <w:jc w:val="both"/>
        <w:rPr/>
      </w:pPr>
      <w:r>
        <w:rPr/>
        <w:t>12.6.4.10. победителю аукциона – в течение 7 рабочих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10 рабочих дней со дня заключения с ним договора и предоставления обеспечения исполнения договора.</w:t>
      </w:r>
    </w:p>
    <w:p>
      <w:pPr>
        <w:pStyle w:val="Normal"/>
        <w:ind w:firstLine="567"/>
        <w:jc w:val="both"/>
        <w:rPr/>
      </w:pPr>
      <w:r>
        <w:rPr/>
      </w:r>
    </w:p>
    <w:p>
      <w:pPr>
        <w:pStyle w:val="Normal"/>
        <w:ind w:firstLine="567"/>
        <w:jc w:val="center"/>
        <w:rPr>
          <w:b/>
          <w:b/>
          <w:bCs/>
        </w:rPr>
      </w:pPr>
      <w:r>
        <w:rPr>
          <w:b/>
          <w:bCs/>
        </w:rPr>
        <w:t>12.7. Порядок приема аукционных заявок</w:t>
      </w:r>
      <w:bookmarkStart w:id="119" w:name="_Hlk533591847"/>
      <w:bookmarkEnd w:id="119"/>
    </w:p>
    <w:p>
      <w:pPr>
        <w:pStyle w:val="Normal"/>
        <w:ind w:firstLine="567"/>
        <w:jc w:val="center"/>
        <w:rPr>
          <w:b/>
          <w:b/>
          <w:bCs/>
        </w:rPr>
      </w:pPr>
      <w:r>
        <w:rPr>
          <w:b/>
          <w:bCs/>
        </w:rPr>
      </w:r>
    </w:p>
    <w:p>
      <w:pPr>
        <w:pStyle w:val="Normal"/>
        <w:ind w:firstLine="567"/>
        <w:jc w:val="both"/>
        <w:rPr/>
      </w:pPr>
      <w:r>
        <w:rPr/>
        <w:t>12.7.1. Со дня размещения извещения в единой информационной системе и до окончания срока подачи аукционных заявок, установленного в извещении о проведении открытого аукциона, заказчик осуществляет прием аукционных заявок.</w:t>
      </w:r>
    </w:p>
    <w:p>
      <w:pPr>
        <w:pStyle w:val="Normal"/>
        <w:ind w:firstLine="567"/>
        <w:jc w:val="both"/>
        <w:rPr/>
      </w:pPr>
      <w:r>
        <w:rPr/>
        <w:t>12.7.2. Для участия в аукционе претендент должен подать в запечатанном конверте аукционную заявку по форме и в порядке, установленным аукционной документацией. Претендент вправе подать только одну аукционную заявку в отношении каждого предмета аукциона (лота).</w:t>
      </w:r>
    </w:p>
    <w:p>
      <w:pPr>
        <w:pStyle w:val="Normal"/>
        <w:ind w:firstLine="567"/>
        <w:jc w:val="both"/>
        <w:rPr/>
      </w:pPr>
      <w:r>
        <w:rPr/>
        <w:t>12.7.3. Все аукционные заявки, полученные до истечения срока подачи аукционных заявок, регистрируются заказчиком. По требованию участника закупки заказчик выдает расписку о получении конверта с аукционной заявкой с указанием даты и времени его получения.</w:t>
      </w:r>
    </w:p>
    <w:p>
      <w:pPr>
        <w:pStyle w:val="Normal"/>
        <w:ind w:firstLine="567"/>
        <w:jc w:val="both"/>
        <w:rPr/>
      </w:pPr>
      <w:r>
        <w:rPr/>
        <w:t>12.7.3.1. О получении ненадлежащим образом запечатанной заявки делается соответствующая пометка в расписке.</w:t>
      </w:r>
    </w:p>
    <w:p>
      <w:pPr>
        <w:pStyle w:val="Normal"/>
        <w:ind w:firstLine="567"/>
        <w:jc w:val="both"/>
        <w:rPr/>
      </w:pPr>
      <w:r>
        <w:rPr/>
        <w:t>12.7.4. Заказчик обеспечивает конфиденциальность сведений, содержащихся в поданных аукционных заявках.</w:t>
      </w:r>
    </w:p>
    <w:p>
      <w:pPr>
        <w:pStyle w:val="Normal"/>
        <w:ind w:firstLine="567"/>
        <w:jc w:val="both"/>
        <w:rPr/>
      </w:pPr>
      <w:r>
        <w:rPr/>
        <w:t>12.7.5. Участник закупки вправе изменить или отозвать ранее поданную аукционную заявку в порядке, предусмотренном аукционной документацией. Изменение и (или) отзыв аукционных заявок после истечения срока подачи аукционных заявок, установленного аукционной документацией, не допускается.</w:t>
      </w:r>
    </w:p>
    <w:p>
      <w:pPr>
        <w:pStyle w:val="Normal"/>
        <w:ind w:firstLine="567"/>
        <w:jc w:val="both"/>
        <w:rPr/>
      </w:pPr>
      <w:r>
        <w:rPr/>
        <w:t>12.7.6. Если по окончании срока подачи аукционных заявок, установленного аукционной документацией, заказчиком будет получена только одна аукционная заявка или не будет получено ни одной аукционной заявки, аукцион будет признан несостоявшимся.</w:t>
      </w:r>
    </w:p>
    <w:p>
      <w:pPr>
        <w:pStyle w:val="Normal"/>
        <w:ind w:firstLine="567"/>
        <w:jc w:val="both"/>
        <w:rPr/>
      </w:pPr>
      <w:r>
        <w:rPr/>
        <w:t>12.7.7.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pPr>
        <w:pStyle w:val="Normal"/>
        <w:ind w:firstLine="567"/>
        <w:jc w:val="both"/>
        <w:rPr/>
      </w:pPr>
      <w:r>
        <w:rPr/>
        <w:t>12.7.8. Если по окончании срока подачи аукционных заявок, установленного аукционной документацией, заказчиком будет получена только одна аукционная заявка, несмотря на то, что аукцион признается несостоявшимся, комиссия по закупкам осуществит вскрытие конверта с такой заявкой и рассмотрит ее в порядке, установленном настоящим Положением. Если рассматриваемая аукционная заявка и подавший такую заявку участник закупки соответствуют требованиям и условиям, предусмотренным аукционной документацией, заказчик заключит договор с участником закупки, подавшим такую аукционную заявку на условиях аукционной документации, проекта договора и аукционная заявки, поданной участником. Такой участник не вправе отказаться от заключения договора.</w:t>
      </w:r>
    </w:p>
    <w:p>
      <w:pPr>
        <w:pStyle w:val="Normal"/>
        <w:ind w:firstLine="567"/>
        <w:jc w:val="both"/>
        <w:rPr/>
      </w:pPr>
      <w:r>
        <w:rPr/>
        <w:t>12.7.9. В случае, описанном в пункте 12.7.8. настоящего Положения, договор заключается по начальной (максимальной) цене договора (цене лота), указанной в извещении о проведении открытого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
    <w:p>
      <w:pPr>
        <w:pStyle w:val="Normal"/>
        <w:ind w:firstLine="567"/>
        <w:jc w:val="both"/>
        <w:rPr/>
      </w:pPr>
      <w:r>
        <w:rPr/>
        <w:t>12.7.10. Аукционные заявки, полученные заказчиком после окончания срока подачи аукционных заявок, установленного аукционной документацией, не рассматриваются и не направляются участникам закупки, подавшим такие заявки.</w:t>
      </w:r>
    </w:p>
    <w:p>
      <w:pPr>
        <w:pStyle w:val="Normal"/>
        <w:ind w:firstLine="567"/>
        <w:jc w:val="both"/>
        <w:rPr>
          <w:color w:val="FF0000"/>
        </w:rPr>
      </w:pPr>
      <w:r>
        <w:rPr>
          <w:color w:val="FF0000"/>
        </w:rPr>
      </w:r>
    </w:p>
    <w:p>
      <w:pPr>
        <w:pStyle w:val="Normal"/>
        <w:ind w:firstLine="567"/>
        <w:jc w:val="center"/>
        <w:rPr>
          <w:b/>
          <w:b/>
          <w:bCs/>
        </w:rPr>
      </w:pPr>
      <w:r>
        <w:rPr>
          <w:b/>
          <w:bCs/>
        </w:rPr>
      </w:r>
    </w:p>
    <w:p>
      <w:pPr>
        <w:pStyle w:val="Normal"/>
        <w:ind w:firstLine="567"/>
        <w:jc w:val="center"/>
        <w:rPr>
          <w:b/>
          <w:b/>
          <w:bCs/>
        </w:rPr>
      </w:pPr>
      <w:r>
        <w:rPr>
          <w:b/>
          <w:bCs/>
        </w:rPr>
        <w:t>12.8. Рассмотрение аукционных заявок</w:t>
      </w:r>
      <w:bookmarkStart w:id="120" w:name="_Hlk533591865"/>
      <w:bookmarkEnd w:id="120"/>
    </w:p>
    <w:p>
      <w:pPr>
        <w:pStyle w:val="Normal"/>
        <w:ind w:firstLine="567"/>
        <w:jc w:val="center"/>
        <w:rPr>
          <w:b/>
          <w:b/>
          <w:bCs/>
          <w:color w:val="FF0000"/>
        </w:rPr>
      </w:pPr>
      <w:r>
        <w:rPr>
          <w:b/>
          <w:bCs/>
          <w:color w:val="FF0000"/>
        </w:rPr>
      </w:r>
    </w:p>
    <w:p>
      <w:pPr>
        <w:pStyle w:val="Normal"/>
        <w:ind w:firstLine="567"/>
        <w:jc w:val="both"/>
        <w:rPr>
          <w:rFonts w:eastAsia="Calibri"/>
        </w:rPr>
      </w:pPr>
      <w:r>
        <w:rPr/>
        <w:t xml:space="preserve">12.8.1. Комиссия по закупкам по окончании срока подачи аукционных заявок вскрывает конверты с заявками и рассматривает заявки на участие в аукционе участников закупки, заявки на участие в аукционе которых вскрыты, с целью определения соответствия аукционной заявки, поданной таким участником, требованиям, установленным аукционной документацией </w:t>
      </w:r>
      <w:r>
        <w:rPr>
          <w:rFonts w:eastAsia="Calibri"/>
        </w:rPr>
        <w:t>в месте и в день, которые указаны в документации.</w:t>
      </w:r>
    </w:p>
    <w:p>
      <w:pPr>
        <w:pStyle w:val="Normal"/>
        <w:ind w:firstLine="567"/>
        <w:jc w:val="both"/>
        <w:rPr/>
      </w:pPr>
      <w:r>
        <w:rPr/>
        <w:t>По результатам рассмотрения заявок на участие в аукционе комиссией по закупке принимается решение о признании участника закупки участником аукциона или об отказе в признании участника закупки участником аукциона.</w:t>
      </w:r>
    </w:p>
    <w:p>
      <w:pPr>
        <w:pStyle w:val="Normal"/>
        <w:ind w:firstLine="567"/>
        <w:jc w:val="both"/>
        <w:rPr/>
      </w:pPr>
      <w:r>
        <w:rPr/>
        <w:t>12.8.2. Участнику закупки будет отказано в признании его участником аукциона в случаях:</w:t>
      </w:r>
    </w:p>
    <w:p>
      <w:pPr>
        <w:pStyle w:val="Normal"/>
        <w:ind w:firstLine="567"/>
        <w:jc w:val="both"/>
        <w:rPr/>
      </w:pPr>
      <w:r>
        <w:rPr/>
        <w:t>12.8.2.1. непредставления оригиналов и копий документов, а также иных сведений, требование о наличии которых установлено аукционной документацией;</w:t>
      </w:r>
    </w:p>
    <w:p>
      <w:pPr>
        <w:pStyle w:val="Normal"/>
        <w:ind w:firstLine="567"/>
        <w:jc w:val="both"/>
        <w:rPr/>
      </w:pPr>
      <w:r>
        <w:rPr/>
        <w:t>12.8.2.2. несоответствия участника закупки требованиям к участникам аукциона, установленным аукционной документацией;</w:t>
      </w:r>
    </w:p>
    <w:p>
      <w:pPr>
        <w:pStyle w:val="Normal"/>
        <w:ind w:firstLine="567"/>
        <w:jc w:val="both"/>
        <w:rPr/>
      </w:pPr>
      <w:r>
        <w:rPr/>
        <w:t>12.8.2.3. 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pPr>
        <w:pStyle w:val="Normal"/>
        <w:ind w:firstLine="567"/>
        <w:jc w:val="both"/>
        <w:rPr/>
      </w:pPr>
      <w:r>
        <w:rPr/>
        <w:t>12.8.2.4. несоответствия предлагаемых товаров, работ, услуг требованиям аукционной документации;</w:t>
      </w:r>
    </w:p>
    <w:p>
      <w:pPr>
        <w:pStyle w:val="Normal"/>
        <w:ind w:firstLine="567"/>
        <w:jc w:val="both"/>
        <w:rPr/>
      </w:pPr>
      <w:r>
        <w:rPr/>
        <w:t>12.8.2.5. непредставления обеспечения аукционной заявки;</w:t>
      </w:r>
    </w:p>
    <w:p>
      <w:pPr>
        <w:pStyle w:val="Normal"/>
        <w:ind w:firstLine="567"/>
        <w:jc w:val="both"/>
        <w:rPr/>
      </w:pPr>
      <w:r>
        <w:rPr/>
        <w:t>12.8.2.6. предоставления в составе аукционной заявки заведомо ложных сведений, намеренного искажения информации или документов, входящих в состав заявки.</w:t>
      </w:r>
    </w:p>
    <w:p>
      <w:pPr>
        <w:pStyle w:val="Normal"/>
        <w:ind w:firstLine="567"/>
        <w:jc w:val="both"/>
        <w:rPr/>
      </w:pPr>
      <w:r>
        <w:rPr/>
        <w:t>12.8.3. Отказ в допуске к участию в аукционе по иным основаниям, не указанным в пунктах 12.8.2, 12.8.4, 12.8.6 не допускается.</w:t>
      </w:r>
    </w:p>
    <w:p>
      <w:pPr>
        <w:pStyle w:val="Normal"/>
        <w:ind w:firstLine="567"/>
        <w:jc w:val="both"/>
        <w:rPr/>
      </w:pPr>
      <w:r>
        <w:rPr/>
        <w:t>12.8.4. 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на любом этапе его проведения.</w:t>
      </w:r>
    </w:p>
    <w:p>
      <w:pPr>
        <w:pStyle w:val="Normal"/>
        <w:ind w:firstLine="567"/>
        <w:jc w:val="both"/>
        <w:rPr/>
      </w:pPr>
      <w:r>
        <w:rPr/>
        <w:t>12.8.5. При необходимости в ходе рассмотрения заявок на участие в аукционе, комиссия по закупкам вправе потребовать от участников закупки разъяснения сведений, содержащихся в аукционных заявках. Требования комиссии по закупке, направленные на изменение содержания аукционной заявки, изменение или предоставление отсутствующего обеспечения заявки, а также разъяснения участника закупки, изменяющие суть предложения, содержащегося в поданной таким участником аукционной заявке, не допускаются.</w:t>
      </w:r>
    </w:p>
    <w:p>
      <w:pPr>
        <w:pStyle w:val="Normal"/>
        <w:ind w:firstLine="567"/>
        <w:jc w:val="both"/>
        <w:rPr/>
      </w:pPr>
      <w:r>
        <w:rPr/>
        <w:t>12.8.6. В случае, если участник закупки, которому был направлен запрос о разъяснении сведений, содержащихся в аукционной заявке, не предоставит соответствующие разъяснения в порядке и в срок, установленные в запросе, аукционная заявка такого участника подлежит отклонению.</w:t>
      </w:r>
    </w:p>
    <w:p>
      <w:pPr>
        <w:pStyle w:val="Normal"/>
        <w:ind w:firstLine="567"/>
        <w:jc w:val="both"/>
        <w:rPr/>
      </w:pPr>
      <w:r>
        <w:rPr/>
        <w:t>12.8.7. В протоколе рассмотрения аукционных заявок отражаются сведения, указанные в п. 8.5.2, а также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признанных участниками аукциона, или об отказе в признании участников закупки участниками аукциона, с обоснованием такого решения, поименный состав присутствующих на заседании членов комиссии по закупке.</w:t>
      </w:r>
    </w:p>
    <w:p>
      <w:pPr>
        <w:pStyle w:val="Normal"/>
        <w:ind w:firstLine="567"/>
        <w:jc w:val="both"/>
        <w:rPr/>
      </w:pPr>
      <w:r>
        <w:rPr/>
        <w:t xml:space="preserve"> </w:t>
      </w:r>
      <w:r>
        <w:rPr/>
        <w:t>Протокол подписывается членами комиссии по закупке, присутствовавшими на заседании, в течение одного дня</w:t>
      </w:r>
      <w:r>
        <w:rPr>
          <w:color w:val="FF0000"/>
        </w:rPr>
        <w:t xml:space="preserve"> </w:t>
      </w:r>
      <w:r>
        <w:rPr/>
        <w:t>следующего за днем заседания комиссии.</w:t>
      </w:r>
    </w:p>
    <w:p>
      <w:pPr>
        <w:pStyle w:val="Normal"/>
        <w:ind w:firstLine="567"/>
        <w:jc w:val="both"/>
        <w:rPr/>
      </w:pPr>
      <w:r>
        <w:rPr/>
        <w:t>12.8.8. Указанный протокол размещается заказчиком не позднее чем через 3 дня со дня подписания в единой информационной системе.</w:t>
      </w:r>
    </w:p>
    <w:p>
      <w:pPr>
        <w:pStyle w:val="Normal"/>
        <w:ind w:firstLine="567"/>
        <w:jc w:val="both"/>
        <w:rPr/>
      </w:pPr>
      <w:r>
        <w:rPr/>
        <w:t>12.8.9. Если на основании результатов рассмотрения аукционных заявок, будет принято решение о несоответствии всех участников закупки, требованиям, предъявляемым к участникам закупки, и (или) о несоответствии всех аукционных заявок, установленным аукционной документацией требованиям, либо о соответствии только одного участника закупки и поданной им аукционной заявки установленным требованиям, аукцион признается несостоявшимся.</w:t>
      </w:r>
    </w:p>
    <w:p>
      <w:pPr>
        <w:pStyle w:val="Normal"/>
        <w:ind w:firstLine="567"/>
        <w:jc w:val="both"/>
        <w:rPr/>
      </w:pPr>
      <w:r>
        <w:rPr/>
        <w:t>12.8.9.1. В этом случае в протокол рассмотрения аукционных заявок вносится информация о признании аукциона несостоявшимся.</w:t>
      </w:r>
    </w:p>
    <w:p>
      <w:pPr>
        <w:pStyle w:val="Normal"/>
        <w:ind w:firstLine="567"/>
        <w:jc w:val="both"/>
        <w:rPr/>
      </w:pPr>
      <w:r>
        <w:rPr/>
        <w:t>12.8.10. Если только один участник закупки, будет признан единственным участником открытого аукциона, аукцион признается несостоявшимся и заказчик заключит договор таким участником аукциона. Такой участник не вправе отказаться от заключения договора.</w:t>
      </w:r>
    </w:p>
    <w:p>
      <w:pPr>
        <w:pStyle w:val="Normal"/>
        <w:ind w:firstLine="567"/>
        <w:jc w:val="both"/>
        <w:rPr/>
      </w:pPr>
      <w:r>
        <w:rPr/>
        <w:t>12.8.11. В случае, описанном в пункте 12.8.10.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закупки и не превышающей начальной (максимальной) цены договора (цены лота) цене договора.</w:t>
      </w:r>
    </w:p>
    <w:p>
      <w:pPr>
        <w:pStyle w:val="Normal"/>
        <w:ind w:firstLine="567"/>
        <w:jc w:val="both"/>
        <w:rPr/>
      </w:pPr>
      <w:r>
        <w:rPr/>
      </w:r>
    </w:p>
    <w:p>
      <w:pPr>
        <w:pStyle w:val="Normal"/>
        <w:ind w:firstLine="567"/>
        <w:jc w:val="both"/>
        <w:rPr>
          <w:color w:val="FF0000"/>
        </w:rPr>
      </w:pPr>
      <w:r>
        <w:rPr>
          <w:color w:val="FF0000"/>
        </w:rPr>
      </w:r>
    </w:p>
    <w:p>
      <w:pPr>
        <w:pStyle w:val="Normal"/>
        <w:ind w:firstLine="567"/>
        <w:jc w:val="center"/>
        <w:rPr>
          <w:b/>
          <w:b/>
          <w:bCs/>
        </w:rPr>
      </w:pPr>
      <w:r>
        <w:rPr>
          <w:b/>
          <w:bCs/>
        </w:rPr>
        <w:t>12.9. Последствия признания аукциона несостоявшимся</w:t>
      </w:r>
    </w:p>
    <w:p>
      <w:pPr>
        <w:pStyle w:val="Normal"/>
        <w:ind w:firstLine="567"/>
        <w:jc w:val="center"/>
        <w:rPr>
          <w:b/>
          <w:b/>
          <w:bCs/>
        </w:rPr>
      </w:pPr>
      <w:r>
        <w:rPr>
          <w:b/>
          <w:bCs/>
        </w:rPr>
      </w:r>
      <w:bookmarkStart w:id="121" w:name="_Hlk533591882"/>
      <w:bookmarkStart w:id="122" w:name="_Hlk533591882"/>
      <w:bookmarkEnd w:id="122"/>
    </w:p>
    <w:p>
      <w:pPr>
        <w:pStyle w:val="Normal"/>
        <w:ind w:firstLine="567"/>
        <w:jc w:val="both"/>
        <w:rPr/>
      </w:pPr>
      <w:r>
        <w:rPr/>
        <w:t xml:space="preserve">12.9.1. В случае, если аукцион признан несостоявшимся и (или) договор не заключен с участником закупки, подавшим единственную аукционную заявку, или признанным единственным участником аукциона, или с единственным участником, зарегистрировавшимся на участие в аукционе, заказчик заключает договор с единственным </w:t>
      </w:r>
      <w:bookmarkStart w:id="123" w:name="_Hlk485822157"/>
      <w:r>
        <w:rPr/>
        <w:t xml:space="preserve">поставщиком (исполнителем, подрядчиком) </w:t>
      </w:r>
      <w:bookmarkEnd w:id="123"/>
      <w:r>
        <w:rPr/>
        <w:t>в соответствии с пунктом 6.3.6.2 настоящего Положения.</w:t>
      </w:r>
    </w:p>
    <w:p>
      <w:pPr>
        <w:pStyle w:val="Normal"/>
        <w:ind w:firstLine="567"/>
        <w:jc w:val="center"/>
        <w:rPr/>
      </w:pPr>
      <w:r>
        <w:rPr/>
      </w:r>
    </w:p>
    <w:p>
      <w:pPr>
        <w:pStyle w:val="Normal"/>
        <w:ind w:firstLine="567"/>
        <w:jc w:val="center"/>
        <w:rPr>
          <w:b/>
          <w:b/>
          <w:bCs/>
        </w:rPr>
      </w:pPr>
      <w:r>
        <w:rPr>
          <w:b/>
          <w:bCs/>
        </w:rPr>
      </w:r>
    </w:p>
    <w:p>
      <w:pPr>
        <w:pStyle w:val="Normal"/>
        <w:ind w:firstLine="567"/>
        <w:jc w:val="center"/>
        <w:rPr>
          <w:b/>
          <w:b/>
          <w:bCs/>
        </w:rPr>
      </w:pPr>
      <w:r>
        <w:rPr>
          <w:b/>
          <w:bCs/>
        </w:rPr>
        <w:t>13. ОСОБЕННОСТИ ПРОВЕДЕНИЯ АУКЦИОНА НА ПРАВО ЗАКЛЮЧИТЬ ДОГОВОР</w:t>
      </w:r>
      <w:bookmarkStart w:id="124" w:name="_Hlk533591898"/>
      <w:bookmarkEnd w:id="124"/>
    </w:p>
    <w:p>
      <w:pPr>
        <w:pStyle w:val="Normal"/>
        <w:ind w:firstLine="567"/>
        <w:jc w:val="center"/>
        <w:rPr>
          <w:b/>
          <w:b/>
          <w:bCs/>
        </w:rPr>
      </w:pPr>
      <w:r>
        <w:rPr>
          <w:b/>
          <w:bCs/>
        </w:rPr>
      </w:r>
    </w:p>
    <w:p>
      <w:pPr>
        <w:pStyle w:val="Normal"/>
        <w:ind w:firstLine="567"/>
        <w:jc w:val="both"/>
        <w:rPr/>
      </w:pPr>
      <w:r>
        <w:rPr/>
        <w:t>Участие в аукционе на право заключить договор связано с дополнительными обязательствами, указанными в подпункте "в" пункта 12.6.2 настоящего Положения.</w:t>
      </w:r>
    </w:p>
    <w:p>
      <w:pPr>
        <w:pStyle w:val="Normal"/>
        <w:ind w:firstLine="567"/>
        <w:jc w:val="both"/>
        <w:rPr/>
      </w:pPr>
      <w:r>
        <w:rPr/>
        <w:t>13.1. Аукционной документацией может быть предусмотрено, что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договора.</w:t>
      </w:r>
    </w:p>
    <w:p>
      <w:pPr>
        <w:pStyle w:val="Normal"/>
        <w:ind w:firstLine="567"/>
        <w:jc w:val="both"/>
        <w:rPr/>
      </w:pPr>
      <w:r>
        <w:rPr/>
        <w:t>13.2. Протокол о результатах аукциона на право заключить договор в день проведения аукциона подписывается победителем аукциона и заказчиком, а также членами комиссии по закупке, присутствовавшими на заседании по проведению аукциона.</w:t>
      </w:r>
    </w:p>
    <w:p>
      <w:pPr>
        <w:pStyle w:val="Normal"/>
        <w:ind w:firstLine="567"/>
        <w:jc w:val="both"/>
        <w:rPr/>
      </w:pPr>
      <w:r>
        <w:rPr/>
        <w:t>13.3. Договор в этом случае заключается после перечисления победителем или участником, сделавшим предпоследнее предложение по цене договора в случае уклонения победителя, на счет заказчика суммы за реализацию этого права.</w:t>
      </w:r>
    </w:p>
    <w:p>
      <w:pPr>
        <w:pStyle w:val="Normal"/>
        <w:ind w:firstLine="567"/>
        <w:jc w:val="both"/>
        <w:rPr/>
      </w:pPr>
      <w:r>
        <w:rPr/>
        <w:t>13.4. В случае, если победитель аукциона вносил обеспечение аукционной заявки в денежной форме, и аукционной документацией было предусмотрено предоставление обеспечения исполнения договора, обеспечение аукционной заявки засчитывается в счет обеспечения исполнения договора (частично или полностью - в зависимости от размера обеспечения исполнения договора).</w:t>
      </w:r>
    </w:p>
    <w:p>
      <w:pPr>
        <w:pStyle w:val="Normal"/>
        <w:ind w:firstLine="567"/>
        <w:jc w:val="both"/>
        <w:rPr/>
      </w:pPr>
      <w:r>
        <w:rPr/>
        <w:t xml:space="preserve">13.5. Договор должен быть подписан заказчиком и победителем аукциона </w:t>
      </w:r>
      <w:r>
        <w:rPr>
          <w:rFonts w:eastAsia="Calibri"/>
        </w:rPr>
        <w:t xml:space="preserve">не ранее чем через десять дней и не позднее чем через двадцать дней с даты размещения в единой информационной системе итогового </w:t>
      </w:r>
      <w:r>
        <w:rPr/>
        <w:t xml:space="preserve">протокола аукциона.  </w:t>
      </w:r>
    </w:p>
    <w:p>
      <w:pPr>
        <w:pStyle w:val="Normal"/>
        <w:ind w:firstLine="567"/>
        <w:jc w:val="center"/>
        <w:rPr>
          <w:b/>
          <w:b/>
          <w:bCs/>
        </w:rPr>
      </w:pPr>
      <w:r>
        <w:rPr>
          <w:b/>
          <w:bCs/>
        </w:rPr>
      </w:r>
    </w:p>
    <w:p>
      <w:pPr>
        <w:pStyle w:val="Normal"/>
        <w:ind w:firstLine="567"/>
        <w:jc w:val="center"/>
        <w:rPr>
          <w:b/>
          <w:b/>
          <w:bCs/>
        </w:rPr>
      </w:pPr>
      <w:bookmarkStart w:id="125" w:name="_Hlk533591918"/>
      <w:r>
        <w:rPr>
          <w:b/>
          <w:bCs/>
        </w:rPr>
        <w:t xml:space="preserve">14. ОСОБЕННОСТИ ПРОВЕДЕНИЯ ЭЛЕКТРОННОГО АУКЦИОНА </w:t>
      </w:r>
      <w:bookmarkEnd w:id="125"/>
    </w:p>
    <w:p>
      <w:pPr>
        <w:pStyle w:val="Normal"/>
        <w:ind w:firstLine="567"/>
        <w:jc w:val="center"/>
        <w:rPr>
          <w:b/>
          <w:b/>
          <w:bCs/>
        </w:rPr>
      </w:pPr>
      <w:r>
        <w:rPr>
          <w:b/>
          <w:bCs/>
        </w:rPr>
      </w:r>
    </w:p>
    <w:p>
      <w:pPr>
        <w:pStyle w:val="Normal"/>
        <w:ind w:firstLine="567"/>
        <w:jc w:val="both"/>
        <w:rPr/>
      </w:pPr>
      <w:r>
        <w:rPr/>
        <w:t>14.1. Электронный аукцион проводится в порядке проведения открытого аукциона, с учетом положений пункта 20.</w:t>
      </w:r>
    </w:p>
    <w:p>
      <w:pPr>
        <w:pStyle w:val="Normal"/>
        <w:ind w:firstLine="567"/>
        <w:jc w:val="center"/>
        <w:rPr>
          <w:b/>
          <w:b/>
          <w:bCs/>
        </w:rPr>
      </w:pPr>
      <w:r>
        <w:rPr>
          <w:b/>
          <w:bCs/>
        </w:rPr>
      </w:r>
    </w:p>
    <w:p>
      <w:pPr>
        <w:pStyle w:val="Normal"/>
        <w:ind w:firstLine="567"/>
        <w:jc w:val="center"/>
        <w:rPr>
          <w:b/>
          <w:b/>
          <w:bCs/>
        </w:rPr>
      </w:pPr>
      <w:bookmarkStart w:id="126" w:name="_Hlk533591941"/>
      <w:r>
        <w:rPr>
          <w:b/>
          <w:bCs/>
        </w:rPr>
        <w:t>15. ОСОБЕННОСТИ ПРОВЕДЕНИЯ ЗАКРЫТОГО АУКЦИОНА</w:t>
      </w:r>
      <w:bookmarkEnd w:id="126"/>
    </w:p>
    <w:p>
      <w:pPr>
        <w:pStyle w:val="Normal"/>
        <w:ind w:firstLine="567"/>
        <w:jc w:val="center"/>
        <w:rPr>
          <w:b/>
          <w:b/>
          <w:bCs/>
        </w:rPr>
      </w:pPr>
      <w:r>
        <w:rPr>
          <w:b/>
          <w:bCs/>
        </w:rPr>
      </w:r>
    </w:p>
    <w:p>
      <w:pPr>
        <w:pStyle w:val="Normal"/>
        <w:ind w:firstLine="567"/>
        <w:jc w:val="both"/>
        <w:rPr/>
      </w:pPr>
      <w:r>
        <w:rPr/>
        <w:t>15.1. Закрытый аукцион проводится в порядке проведения открытого аукциона, с учетом положений настоящего пункта.</w:t>
      </w:r>
    </w:p>
    <w:p>
      <w:pPr>
        <w:pStyle w:val="Normal"/>
        <w:ind w:firstLine="567"/>
        <w:jc w:val="both"/>
        <w:rPr/>
      </w:pPr>
      <w:r>
        <w:rPr/>
        <w:t>15.2. При проведении закрытого аукциона извещение о проведении закрытого аукциона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сети "Интернет". Заказчик в сроки, установленные для размещения извещения о закупке на официальном сайте, направляет приглашения принять участие в закрытом аукционе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8.3.1 и 12.2.2 настоящего Положения.</w:t>
      </w:r>
    </w:p>
    <w:p>
      <w:pPr>
        <w:pStyle w:val="Normal"/>
        <w:ind w:firstLine="567"/>
        <w:jc w:val="both"/>
        <w:rPr/>
      </w:pPr>
      <w:r>
        <w:rPr/>
        <w:t>15.3. При проведении закрытого аукциона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pPr>
        <w:pStyle w:val="Normal"/>
        <w:ind w:firstLine="567"/>
        <w:jc w:val="both"/>
        <w:rPr/>
      </w:pPr>
      <w:r>
        <w:rPr/>
        <w:t>15.4. Протоколы, формируемые по результатам заседания комиссии по закупке, не подлежат опубликованию в средствах массовой информации и размещению в единой информационной системе. Заказчик не позднее трех рабочих дней со дня подписания соответствующего протокола, направляет копии соответствующего протокола участникам, подавшим аукционные заявки.</w:t>
      </w:r>
    </w:p>
    <w:p>
      <w:pPr>
        <w:pStyle w:val="Normal"/>
        <w:ind w:firstLine="567"/>
        <w:jc w:val="both"/>
        <w:rPr/>
      </w:pPr>
      <w:r>
        <w:rPr/>
      </w:r>
    </w:p>
    <w:p>
      <w:pPr>
        <w:pStyle w:val="Normal"/>
        <w:ind w:firstLine="567"/>
        <w:jc w:val="center"/>
        <w:rPr>
          <w:b/>
          <w:b/>
          <w:bCs/>
        </w:rPr>
      </w:pPr>
      <w:r>
        <w:rPr>
          <w:b/>
          <w:bCs/>
        </w:rPr>
        <w:t>16. ПОРЯДОК ПРОВЕДЕНИЯ ЗАПРОСА ПРЕДЛОЖЕНИЙ</w:t>
      </w:r>
    </w:p>
    <w:p>
      <w:pPr>
        <w:pStyle w:val="Normal"/>
        <w:ind w:firstLine="567"/>
        <w:jc w:val="center"/>
        <w:rPr>
          <w:b/>
          <w:b/>
          <w:bCs/>
        </w:rPr>
      </w:pPr>
      <w:r>
        <w:rPr>
          <w:b/>
          <w:bCs/>
        </w:rPr>
      </w:r>
    </w:p>
    <w:p>
      <w:pPr>
        <w:pStyle w:val="Normal"/>
        <w:ind w:firstLine="567"/>
        <w:jc w:val="center"/>
        <w:rPr>
          <w:b/>
          <w:b/>
          <w:bCs/>
        </w:rPr>
      </w:pPr>
      <w:r>
        <w:rPr>
          <w:b/>
          <w:bCs/>
        </w:rPr>
        <w:t>16.1. Общий порядок проведения запроса предложений</w:t>
      </w:r>
    </w:p>
    <w:p>
      <w:pPr>
        <w:pStyle w:val="Normal"/>
        <w:ind w:firstLine="567"/>
        <w:jc w:val="center"/>
        <w:rPr>
          <w:b/>
          <w:b/>
          <w:bCs/>
        </w:rPr>
      </w:pPr>
      <w:r>
        <w:rPr>
          <w:b/>
          <w:bCs/>
        </w:rPr>
      </w:r>
      <w:bookmarkStart w:id="127" w:name="_Hlk533591964"/>
      <w:bookmarkStart w:id="128" w:name="_Hlk533591964"/>
      <w:bookmarkEnd w:id="128"/>
    </w:p>
    <w:p>
      <w:pPr>
        <w:pStyle w:val="Normal"/>
        <w:ind w:firstLine="567"/>
        <w:jc w:val="both"/>
        <w:rPr>
          <w:rFonts w:eastAsia="Calibri"/>
          <w:bCs/>
        </w:rPr>
      </w:pPr>
      <w:r>
        <w:rPr>
          <w:rFonts w:eastAsia="Calibri"/>
          <w:bCs/>
        </w:rPr>
        <w:t>Под запросом предложений в целях настоящего Положения о закупке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pPr>
        <w:pStyle w:val="Normal"/>
        <w:ind w:firstLine="567"/>
        <w:jc w:val="center"/>
        <w:rPr>
          <w:b/>
          <w:b/>
          <w:bCs/>
        </w:rPr>
      </w:pPr>
      <w:r>
        <w:rPr>
          <w:b/>
          <w:bCs/>
        </w:rPr>
      </w:r>
    </w:p>
    <w:p>
      <w:pPr>
        <w:pStyle w:val="Normal"/>
        <w:ind w:firstLine="567"/>
        <w:jc w:val="both"/>
        <w:rPr>
          <w:rFonts w:eastAsia="Calibri"/>
        </w:rPr>
      </w:pPr>
      <w:r>
        <w:rPr>
          <w:rFonts w:eastAsia="Calibri"/>
        </w:rPr>
        <w:t>16.1а. Запрос предложений может проводиться, если начальная (максимальная) цена договора менее 5 млн руб. и проводить конкурс нецелесообразно или невозможно ввиду срочной необходимости в удовлетворении потребностей Заказчика.</w:t>
      </w:r>
    </w:p>
    <w:p>
      <w:pPr>
        <w:pStyle w:val="Normal"/>
        <w:ind w:firstLine="567"/>
        <w:jc w:val="both"/>
        <w:rPr>
          <w:rFonts w:eastAsia="Calibri"/>
        </w:rPr>
      </w:pPr>
      <w:r>
        <w:rPr>
          <w:rFonts w:eastAsia="Calibri"/>
        </w:rPr>
        <w:t>16.1б. Отбор предложений осуществляется на основании критериев, указанных в документации о проведении запроса предложений.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pPr>
        <w:pStyle w:val="Normal"/>
        <w:ind w:firstLine="567"/>
        <w:jc w:val="both"/>
        <w:rPr>
          <w:rFonts w:eastAsia="Calibri"/>
        </w:rPr>
      </w:pPr>
      <w:r>
        <w:rPr>
          <w:rFonts w:eastAsia="Calibri"/>
        </w:rPr>
      </w:r>
    </w:p>
    <w:p>
      <w:pPr>
        <w:pStyle w:val="Normal"/>
        <w:ind w:firstLine="567"/>
        <w:jc w:val="both"/>
        <w:rPr>
          <w:rFonts w:eastAsia="Calibri"/>
        </w:rPr>
      </w:pPr>
      <w:r>
        <w:rPr>
          <w:rFonts w:eastAsia="Calibri"/>
        </w:rPr>
      </w:r>
    </w:p>
    <w:p>
      <w:pPr>
        <w:pStyle w:val="Normal"/>
        <w:ind w:firstLine="567"/>
        <w:jc w:val="both"/>
        <w:rPr>
          <w:rFonts w:eastAsia="Calibri"/>
        </w:rPr>
      </w:pPr>
      <w:r>
        <w:rPr>
          <w:rFonts w:eastAsia="Calibri"/>
        </w:rPr>
      </w:r>
    </w:p>
    <w:p>
      <w:pPr>
        <w:pStyle w:val="Normal"/>
        <w:ind w:firstLine="567"/>
        <w:jc w:val="both"/>
        <w:rPr>
          <w:rFonts w:eastAsia="Calibri"/>
        </w:rPr>
      </w:pPr>
      <w:r>
        <w:rPr>
          <w:rFonts w:eastAsia="Calibri"/>
        </w:rPr>
      </w:r>
    </w:p>
    <w:p>
      <w:pPr>
        <w:pStyle w:val="Normal"/>
        <w:ind w:firstLine="567"/>
        <w:jc w:val="both"/>
        <w:rPr/>
      </w:pPr>
      <w:r>
        <w:rPr/>
      </w:r>
    </w:p>
    <w:p>
      <w:pPr>
        <w:pStyle w:val="Normal"/>
        <w:ind w:firstLine="567"/>
        <w:jc w:val="center"/>
        <w:rPr>
          <w:b/>
          <w:b/>
          <w:bCs/>
        </w:rPr>
      </w:pPr>
      <w:r>
        <w:rPr>
          <w:b/>
          <w:bCs/>
        </w:rPr>
        <w:t>16.2. Извещение о проведении открытого запроса предложений</w:t>
      </w:r>
    </w:p>
    <w:p>
      <w:pPr>
        <w:pStyle w:val="Normal"/>
        <w:ind w:firstLine="567"/>
        <w:jc w:val="both"/>
        <w:rPr>
          <w:b/>
          <w:b/>
          <w:bCs/>
        </w:rPr>
      </w:pPr>
      <w:r>
        <w:rPr>
          <w:b/>
          <w:bCs/>
        </w:rPr>
      </w:r>
      <w:bookmarkStart w:id="129" w:name="_Hlk533591989"/>
      <w:bookmarkStart w:id="130" w:name="_Hlk533591989"/>
      <w:bookmarkEnd w:id="130"/>
    </w:p>
    <w:p>
      <w:pPr>
        <w:pStyle w:val="Normal"/>
        <w:ind w:firstLine="567"/>
        <w:jc w:val="both"/>
        <w:rPr>
          <w:rFonts w:eastAsia="Calibri"/>
          <w:bCs/>
        </w:rPr>
      </w:pPr>
      <w:r>
        <w:rPr/>
        <w:t xml:space="preserve">16.2.1. </w:t>
      </w:r>
      <w:r>
        <w:rPr>
          <w:rFonts w:eastAsia="Calibri"/>
          <w:bCs/>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pPr>
        <w:pStyle w:val="Normal"/>
        <w:ind w:firstLine="567"/>
        <w:jc w:val="both"/>
        <w:rPr/>
      </w:pPr>
      <w:r>
        <w:rPr/>
        <w:t>16.2.2. В извещении о проведении запроса предложений должны быть указаны сведения в соответствии с пунктом 8.3.1. настоящего Положения, а также:</w:t>
      </w:r>
    </w:p>
    <w:p>
      <w:pPr>
        <w:pStyle w:val="Normal"/>
        <w:ind w:firstLine="567"/>
        <w:jc w:val="both"/>
        <w:rPr/>
      </w:pPr>
      <w:r>
        <w:rPr/>
        <w:t>16.2.2.1. размер обеспечения заявки на участие в запросе предложений, способы, срок и порядок предоставления обеспечения, реквизиты счета (при необходимости);</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16.2.2.2. сведения об ограничении в отношении участников закупок, которыми могут быть только субъекты малого и среднего предпринимательства (в случае установления такого ограничения);</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16.2.2.3. сведения об установлении требования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случае установления такого требования).</w:t>
      </w:r>
    </w:p>
    <w:p>
      <w:pPr>
        <w:pStyle w:val="Normal"/>
        <w:ind w:firstLine="567"/>
        <w:jc w:val="both"/>
        <w:rPr/>
      </w:pPr>
      <w:r>
        <w:rPr/>
        <w:t>16.2.3.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p>
    <w:p>
      <w:pPr>
        <w:pStyle w:val="Normal"/>
        <w:ind w:firstLine="567"/>
        <w:jc w:val="both"/>
        <w:rPr>
          <w:rFonts w:eastAsia="Calibri"/>
        </w:rPr>
      </w:pPr>
      <w:r>
        <w:rPr/>
        <w:t>16.2.3.1. В течение трех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r>
        <w:rPr>
          <w:rFonts w:eastAsia="Calibri"/>
        </w:rPr>
        <w:t xml:space="preserve"> Изменение предмета запроса предложений не допускается.</w:t>
      </w:r>
    </w:p>
    <w:p>
      <w:pPr>
        <w:pStyle w:val="Normal"/>
        <w:ind w:firstLine="567"/>
        <w:jc w:val="both"/>
        <w:rPr/>
      </w:pPr>
      <w:r>
        <w:rPr/>
        <w:t xml:space="preserve">16.2.3.2. </w:t>
      </w:r>
      <w:r>
        <w:rPr>
          <w:rFonts w:eastAsia="Calibri"/>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09">
        <w:r>
          <w:rPr>
            <w:rStyle w:val="ListLabel2"/>
            <w:rFonts w:eastAsia="Calibri"/>
          </w:rPr>
          <w:t>п. 16.2.1</w:t>
        </w:r>
      </w:hyperlink>
      <w:r>
        <w:rPr>
          <w:rFonts w:eastAsia="Calibri"/>
        </w:rPr>
        <w:t xml:space="preserve"> настоящего Положения.</w:t>
      </w:r>
    </w:p>
    <w:p>
      <w:pPr>
        <w:pStyle w:val="Normal"/>
        <w:ind w:firstLine="567"/>
        <w:jc w:val="center"/>
        <w:rPr>
          <w:b/>
          <w:b/>
          <w:bCs/>
        </w:rPr>
      </w:pPr>
      <w:r>
        <w:rPr>
          <w:b/>
          <w:bCs/>
        </w:rPr>
      </w:r>
    </w:p>
    <w:p>
      <w:pPr>
        <w:pStyle w:val="Normal"/>
        <w:ind w:firstLine="567"/>
        <w:jc w:val="center"/>
        <w:rPr>
          <w:b/>
          <w:b/>
          <w:bCs/>
        </w:rPr>
      </w:pPr>
      <w:r>
        <w:rPr>
          <w:b/>
          <w:bCs/>
        </w:rPr>
        <w:t>16.3. Документация о проведении запроса предложений</w:t>
      </w:r>
      <w:bookmarkStart w:id="131" w:name="_Hlk533592008"/>
      <w:bookmarkEnd w:id="131"/>
    </w:p>
    <w:p>
      <w:pPr>
        <w:pStyle w:val="Normal"/>
        <w:ind w:firstLine="567"/>
        <w:jc w:val="center"/>
        <w:rPr>
          <w:b/>
          <w:b/>
          <w:bCs/>
        </w:rPr>
      </w:pPr>
      <w:r>
        <w:rPr>
          <w:b/>
          <w:bCs/>
        </w:rPr>
      </w:r>
    </w:p>
    <w:p>
      <w:pPr>
        <w:pStyle w:val="Normal"/>
        <w:ind w:firstLine="567"/>
        <w:jc w:val="both"/>
        <w:rPr/>
      </w:pPr>
      <w:r>
        <w:rPr/>
        <w:t>16.3.1. 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w:t>
      </w:r>
    </w:p>
    <w:p>
      <w:pPr>
        <w:pStyle w:val="Normal"/>
        <w:ind w:firstLine="567"/>
        <w:jc w:val="both"/>
        <w:rPr/>
      </w:pPr>
      <w:r>
        <w:rPr/>
        <w:t>16.3.2.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pPr>
        <w:pStyle w:val="Normal"/>
        <w:ind w:firstLine="567"/>
        <w:jc w:val="both"/>
        <w:rPr/>
      </w:pPr>
      <w:r>
        <w:rPr/>
        <w:t>16.3.3. В документации о проведении запроса предложений должны быть указаны сведения в соответствии с пунктом 8.4 настоящего Положения, а также могут быть указаны:</w:t>
      </w:r>
    </w:p>
    <w:p>
      <w:pPr>
        <w:pStyle w:val="Normal"/>
        <w:ind w:firstLine="567"/>
        <w:jc w:val="both"/>
        <w:rPr/>
      </w:pPr>
      <w:r>
        <w:rPr/>
        <w:t>16.3.3.1.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pPr>
        <w:pStyle w:val="Normal"/>
        <w:ind w:firstLine="567"/>
        <w:jc w:val="both"/>
        <w:rPr/>
      </w:pPr>
      <w:r>
        <w:rPr/>
        <w:t>16.3.3.2. сведения о валюте, используемой для формирования цены договора и расчетов с поставщиками (исполнителями, подрядчиками);</w:t>
      </w:r>
    </w:p>
    <w:p>
      <w:pPr>
        <w:pStyle w:val="Normal"/>
        <w:ind w:firstLine="567"/>
        <w:jc w:val="both"/>
        <w:rPr/>
      </w:pPr>
      <w:r>
        <w:rPr/>
        <w:t>16.3.3.3. порядок применения официального курса иностранной валюты к рублю РФ, установленного ЦБ РФ и используемого при оплате заключенного договора;</w:t>
      </w:r>
    </w:p>
    <w:p>
      <w:pPr>
        <w:pStyle w:val="Normal"/>
        <w:ind w:firstLine="567"/>
        <w:jc w:val="both"/>
        <w:rPr/>
      </w:pPr>
      <w:r>
        <w:rPr/>
        <w:t>16.3.3.4. 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pPr>
        <w:pStyle w:val="Normal"/>
        <w:ind w:firstLine="567"/>
        <w:jc w:val="both"/>
        <w:rPr/>
      </w:pPr>
      <w:r>
        <w:rPr/>
        <w:t>16.3.3.5. размер обеспечения исполнения договора, срок и порядок его предоставления (при необходимости);</w:t>
      </w:r>
    </w:p>
    <w:p>
      <w:pPr>
        <w:pStyle w:val="Normal"/>
        <w:ind w:firstLine="567"/>
        <w:jc w:val="both"/>
        <w:rPr/>
      </w:pPr>
      <w:r>
        <w:rPr/>
        <w:t>16.3.3.6. срок подписания договора победителем, иными участниками закупки (при необходимости);</w:t>
      </w:r>
    </w:p>
    <w:p>
      <w:pPr>
        <w:pStyle w:val="Normal"/>
        <w:ind w:firstLine="567"/>
        <w:jc w:val="both"/>
        <w:rPr/>
      </w:pPr>
      <w:r>
        <w:rPr/>
        <w:t>16.3.3.7. последствия признания запроса предложений несостоявшимся;</w:t>
      </w:r>
    </w:p>
    <w:p>
      <w:pPr>
        <w:pStyle w:val="Normal"/>
        <w:ind w:firstLine="567"/>
        <w:jc w:val="both"/>
        <w:rPr/>
      </w:pPr>
      <w:r>
        <w:rPr/>
        <w:t>16.3.3.8. указание на возможность подачи альтернативных предложений, порядок рассмотрения таких предложений (при необходимости);</w:t>
      </w:r>
    </w:p>
    <w:p>
      <w:pPr>
        <w:pStyle w:val="Normal"/>
        <w:ind w:firstLine="567"/>
        <w:jc w:val="both"/>
        <w:rPr/>
      </w:pPr>
      <w:r>
        <w:rPr/>
        <w:t>16.3.3.9. иные сведения и требования в зависимости от предмета закупки (при необходимости).</w:t>
      </w:r>
    </w:p>
    <w:p>
      <w:pPr>
        <w:pStyle w:val="Normal"/>
        <w:ind w:firstLine="567"/>
        <w:jc w:val="both"/>
        <w:rPr/>
      </w:pPr>
      <w:r>
        <w:rPr/>
        <w:t>16.3.4.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w:t>
      </w:r>
    </w:p>
    <w:p>
      <w:pPr>
        <w:pStyle w:val="Normal"/>
        <w:ind w:firstLine="567"/>
        <w:jc w:val="both"/>
        <w:rPr/>
      </w:pPr>
      <w:r>
        <w:rPr/>
        <w:t>16.3.5. Предоставление документации до размещения в единой информационной системе извещения о проведении запроса предложений не допускается.</w:t>
      </w:r>
    </w:p>
    <w:p>
      <w:pPr>
        <w:pStyle w:val="Normal"/>
        <w:ind w:firstLine="567"/>
        <w:jc w:val="both"/>
        <w:rPr/>
      </w:pPr>
      <w:r>
        <w:rPr/>
        <w:t>16.3.6.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документацию о проведении запроса предложений.</w:t>
      </w:r>
    </w:p>
    <w:p>
      <w:pPr>
        <w:pStyle w:val="Normal"/>
        <w:ind w:firstLine="567"/>
        <w:jc w:val="both"/>
        <w:rPr/>
      </w:pPr>
      <w:r>
        <w:rPr/>
        <w:t>16.3.7.1. В течение трех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pPr>
        <w:pStyle w:val="Normal"/>
        <w:ind w:firstLine="567"/>
        <w:jc w:val="both"/>
        <w:rPr/>
      </w:pPr>
      <w:r>
        <w:rPr/>
        <w:t xml:space="preserve">16.3.7.2. В результате внесения указанных изменений срок подачи заявок на участие в открытом конкурсе должен быть продлен так,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rPr>
            <w:rStyle w:val="ListLabel5"/>
          </w:rPr>
          <w:t xml:space="preserve">пункте </w:t>
        </w:r>
      </w:hyperlink>
      <w:r>
        <w:rPr/>
        <w:t>16.2.1 настоящего Положения.</w:t>
      </w:r>
    </w:p>
    <w:p>
      <w:pPr>
        <w:pStyle w:val="Normal"/>
        <w:ind w:firstLine="567"/>
        <w:jc w:val="both"/>
        <w:rPr/>
      </w:pPr>
      <w:r>
        <w:rPr/>
        <w:t>16.3.8. Любой претендент вправе направить заказчику запрос разъяснений положений документации о проведении запроса предложений в форме электронного документа в срок не позднее чем за 3 рабочих дня до дня окончания подачи заявок на участие в запросе предложений. Заказчик в течение 1 рабочего дня со дня поступления запроса на разъяснение положений документации размещает разъяснения (без указания наименования или адреса претендента, от которого был получен запрос на разъяснения) в единой информационной системе.</w:t>
      </w:r>
    </w:p>
    <w:p>
      <w:pPr>
        <w:pStyle w:val="ConsPlusNormal2"/>
        <w:widowControl/>
        <w:ind w:firstLine="567"/>
        <w:jc w:val="both"/>
        <w:rPr>
          <w:rFonts w:ascii="Times New Roman" w:hAnsi="Times New Roman" w:cs="Times New Roman"/>
          <w:sz w:val="24"/>
          <w:szCs w:val="24"/>
        </w:rPr>
      </w:pPr>
      <w:r>
        <w:rPr>
          <w:rFonts w:ascii="Times New Roman" w:hAnsi="Times New Roman"/>
          <w:sz w:val="24"/>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 Разъяснения положений документации о проведении запроса предложений не должны изменять предмет закупки и существенные условия проекта договора.</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16.3.9. Заказчик одновременно с размещением в ЕИС извещения о проведении запроса предложений вправе направить приглашения принять участие в запросе предложений не менее чем трем лицам, осуществляющим поставки товаров, выполнение работ, оказание услуг, предусмотренных извещением о проведении запроса предложений.</w:t>
      </w:r>
    </w:p>
    <w:p>
      <w:pPr>
        <w:pStyle w:val="Normal"/>
        <w:ind w:firstLine="567"/>
        <w:jc w:val="both"/>
        <w:rPr/>
      </w:pPr>
      <w:r>
        <w:rPr/>
      </w:r>
    </w:p>
    <w:p>
      <w:pPr>
        <w:pStyle w:val="Normal"/>
        <w:ind w:firstLine="567"/>
        <w:jc w:val="center"/>
        <w:rPr>
          <w:b/>
          <w:b/>
          <w:bCs/>
        </w:rPr>
      </w:pPr>
      <w:r>
        <w:rPr>
          <w:b/>
          <w:bCs/>
        </w:rPr>
        <w:t>16.4. Отказ от проведения запроса предложений</w:t>
      </w:r>
      <w:bookmarkStart w:id="132" w:name="_Hlk533592030"/>
      <w:bookmarkEnd w:id="132"/>
    </w:p>
    <w:p>
      <w:pPr>
        <w:pStyle w:val="Normal"/>
        <w:ind w:firstLine="567"/>
        <w:jc w:val="center"/>
        <w:rPr>
          <w:b/>
          <w:b/>
          <w:bCs/>
        </w:rPr>
      </w:pPr>
      <w:r>
        <w:rPr>
          <w:b/>
          <w:bCs/>
        </w:rPr>
      </w:r>
    </w:p>
    <w:p>
      <w:pPr>
        <w:pStyle w:val="Normal"/>
        <w:ind w:firstLine="567"/>
        <w:jc w:val="both"/>
        <w:rPr/>
      </w:pPr>
      <w:r>
        <w:rPr/>
        <w:t>16.4.1. Заказчик вправе принять решение об отказе от проведения запроса предложений в любое время до окончания срока подачи заявок,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pPr>
        <w:pStyle w:val="Normal"/>
        <w:ind w:firstLine="567"/>
        <w:jc w:val="both"/>
        <w:rPr/>
      </w:pPr>
      <w:r>
        <w:rPr/>
        <w:t>16.4.2. В случае принятия решения об отказе от проведения запроса предложений, заказчик в день принятия такого решения, размещает сведения об отказе от проведения запроса предложений в единой информационной системе.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pPr>
        <w:pStyle w:val="Normal"/>
        <w:tabs>
          <w:tab w:val="left" w:pos="6075" w:leader="none"/>
        </w:tabs>
        <w:ind w:firstLine="567"/>
        <w:rPr>
          <w:b/>
          <w:b/>
          <w:bCs/>
        </w:rPr>
      </w:pPr>
      <w:r>
        <w:rPr>
          <w:b/>
          <w:bCs/>
        </w:rPr>
        <w:tab/>
      </w:r>
    </w:p>
    <w:p>
      <w:pPr>
        <w:pStyle w:val="Normal"/>
        <w:ind w:firstLine="567"/>
        <w:jc w:val="center"/>
        <w:rPr>
          <w:b/>
          <w:b/>
          <w:bCs/>
        </w:rPr>
      </w:pPr>
      <w:bookmarkStart w:id="133" w:name="_Hlk533592048"/>
      <w:r>
        <w:rPr>
          <w:b/>
          <w:bCs/>
        </w:rPr>
        <w:t>16.5. Требования к заявке на участие в запросе предложений</w:t>
      </w:r>
      <w:bookmarkEnd w:id="133"/>
    </w:p>
    <w:p>
      <w:pPr>
        <w:pStyle w:val="Normal"/>
        <w:ind w:firstLine="567"/>
        <w:jc w:val="center"/>
        <w:rPr>
          <w:b/>
          <w:b/>
          <w:bCs/>
        </w:rPr>
      </w:pPr>
      <w:r>
        <w:rPr>
          <w:b/>
          <w:bCs/>
        </w:rPr>
      </w:r>
    </w:p>
    <w:p>
      <w:pPr>
        <w:pStyle w:val="Normal"/>
        <w:ind w:firstLine="567"/>
        <w:jc w:val="both"/>
        <w:rPr/>
      </w:pPr>
      <w:r>
        <w:rPr/>
        <w:t>16.5.1. Для участия в запросе предложений претендент должен подготовить заявку на участие в запросе предложений, оформленную в полном соответствии с требованиями документации о проведении запроса предложений.</w:t>
      </w:r>
    </w:p>
    <w:p>
      <w:pPr>
        <w:pStyle w:val="Normal"/>
        <w:ind w:firstLine="567"/>
        <w:jc w:val="both"/>
        <w:rPr/>
      </w:pPr>
      <w:r>
        <w:rPr/>
        <w:t>16.5.2. Заявка на участие в запросе предложений может содержать сведения, аналогичные сведениям, указанным в пункте 9.5.2, включая требование о предоставлении любых иных документов или копий документов, перечень которых определен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предложений.</w:t>
      </w:r>
    </w:p>
    <w:p>
      <w:pPr>
        <w:pStyle w:val="Normal"/>
        <w:ind w:firstLine="567"/>
        <w:jc w:val="both"/>
        <w:rPr/>
      </w:pPr>
      <w:r>
        <w:rPr/>
        <w:t>16.5.2.1. При установлении требования о предоставлении в составе заявки на участие в запросе предложений документов (оригиналов, копий),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pPr>
        <w:pStyle w:val="Normal"/>
        <w:spacing w:before="0" w:after="0"/>
        <w:ind w:firstLine="567"/>
        <w:contextualSpacing/>
        <w:jc w:val="both"/>
        <w:rPr/>
      </w:pPr>
      <w:r>
        <w:rPr/>
        <w:t>16.5.3. Заявка на участие в запросе предложений в электронной форме направляется участником такой закупки оператору электронной площадки в электронной форме.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
    <w:p>
      <w:pPr>
        <w:pStyle w:val="Normal"/>
        <w:ind w:firstLine="567"/>
        <w:jc w:val="both"/>
        <w:rPr>
          <w:color w:val="C00000"/>
        </w:rPr>
      </w:pPr>
      <w:r>
        <w:rPr>
          <w:color w:val="C00000"/>
        </w:rPr>
      </w:r>
    </w:p>
    <w:p>
      <w:pPr>
        <w:pStyle w:val="Normal"/>
        <w:ind w:firstLine="567"/>
        <w:jc w:val="center"/>
        <w:rPr>
          <w:b/>
          <w:b/>
          <w:bCs/>
        </w:rPr>
      </w:pPr>
      <w:r>
        <w:rPr>
          <w:b/>
          <w:bCs/>
        </w:rPr>
        <w:t>16.6. Обеспечение заявки на участие в запросе предложений</w:t>
      </w:r>
      <w:bookmarkStart w:id="134" w:name="_Hlk533592073"/>
      <w:bookmarkEnd w:id="134"/>
    </w:p>
    <w:p>
      <w:pPr>
        <w:pStyle w:val="Normal"/>
        <w:ind w:firstLine="567"/>
        <w:jc w:val="center"/>
        <w:rPr>
          <w:b/>
          <w:b/>
          <w:bCs/>
        </w:rPr>
      </w:pPr>
      <w:r>
        <w:rPr>
          <w:b/>
          <w:bCs/>
        </w:rPr>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16.6.1.</w:t>
      </w:r>
      <w:r>
        <w:rPr/>
        <w:t xml:space="preserve"> </w:t>
      </w:r>
      <w:r>
        <w:rPr>
          <w:rFonts w:cs="Times New Roman" w:ascii="Times New Roman" w:hAnsi="Times New Roman"/>
          <w:sz w:val="24"/>
          <w:szCs w:val="24"/>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pPr>
        <w:pStyle w:val="ConsPlusNormal2"/>
        <w:spacing w:before="0" w:after="0"/>
        <w:ind w:firstLine="567"/>
        <w:contextualSpacing/>
        <w:jc w:val="both"/>
        <w:rPr/>
      </w:pPr>
      <w:r>
        <w:rPr>
          <w:rFonts w:cs="Times New Roman" w:ascii="Times New Roman" w:hAnsi="Times New Roman"/>
          <w:sz w:val="24"/>
          <w:szCs w:val="24"/>
        </w:rPr>
        <w:t xml:space="preserve">Исполнение обязательств участника закупки в связи с подачей заявки на участие в запросе предложений может быть обеспечено внесением денежных средств в качестве обеспечения заявки на участие в запросе предложений на расчетный счет, указанный в  извещении об осуществлении закупки, документации о проведении запроса предложений, предоставлением банковской гарантии или иным способом, предусмотренным Гражданским </w:t>
      </w:r>
      <w:hyperlink r:id="rId110">
        <w:r>
          <w:rPr>
            <w:rStyle w:val="ListLabel9"/>
            <w:rFonts w:cs="Times New Roman" w:ascii="Times New Roman" w:hAnsi="Times New Roman"/>
            <w:sz w:val="24"/>
            <w:szCs w:val="24"/>
          </w:rPr>
          <w:t>кодексом</w:t>
        </w:r>
      </w:hyperlink>
      <w:r>
        <w:rPr>
          <w:rFonts w:cs="Times New Roman" w:ascii="Times New Roman" w:hAnsi="Times New Roman"/>
          <w:sz w:val="24"/>
          <w:szCs w:val="24"/>
        </w:rPr>
        <w:t xml:space="preserve"> РФ, за исключением проведения закупки в соответствии со </w:t>
      </w:r>
      <w:hyperlink r:id="rId111">
        <w:r>
          <w:rPr>
            <w:rStyle w:val="ListLabel9"/>
            <w:rFonts w:cs="Times New Roman" w:ascii="Times New Roman" w:hAnsi="Times New Roman"/>
            <w:sz w:val="24"/>
            <w:szCs w:val="24"/>
          </w:rPr>
          <w:t>ст. 3.4</w:t>
        </w:r>
      </w:hyperlink>
      <w:r>
        <w:rPr>
          <w:rFonts w:cs="Times New Roman" w:ascii="Times New Roman" w:hAnsi="Times New Roman"/>
          <w:sz w:val="24"/>
          <w:szCs w:val="24"/>
        </w:rPr>
        <w:t xml:space="preserve"> Закона N 223-ФЗ. Выбор способа обеспечения заявки на участие в конкурсе осуществляется участником закупки из числа предусмотренных Заказчиком в извещении об осуществлении закупки, документации о закупке.</w:t>
      </w:r>
    </w:p>
    <w:p>
      <w:pPr>
        <w:pStyle w:val="Normal"/>
        <w:ind w:firstLine="567"/>
        <w:jc w:val="both"/>
        <w:rPr/>
      </w:pPr>
      <w:r>
        <w:rPr/>
        <w:t>16.6.1.1. При установлении требования об обеспечении заявки на участие в запросе предложений,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pPr>
        <w:pStyle w:val="Normal"/>
        <w:ind w:firstLine="567"/>
        <w:jc w:val="both"/>
        <w:rPr>
          <w:rFonts w:eastAsia="Calibri"/>
        </w:rPr>
      </w:pPr>
      <w:r>
        <w:rPr/>
        <w:t xml:space="preserve">16.6.2. </w:t>
      </w:r>
      <w:r>
        <w:rPr>
          <w:rFonts w:eastAsia="Calibri"/>
        </w:rPr>
        <w:t>Возврат участнику конкурентной закупки обеспечения заявки на участие в закупке не производится в следующих случаях:</w:t>
      </w:r>
    </w:p>
    <w:p>
      <w:pPr>
        <w:pStyle w:val="Normal"/>
        <w:ind w:firstLine="567"/>
        <w:jc w:val="both"/>
        <w:rPr>
          <w:rFonts w:eastAsia="Calibri"/>
        </w:rPr>
      </w:pPr>
      <w:r>
        <w:rPr>
          <w:rFonts w:eastAsia="Calibri"/>
        </w:rPr>
        <w:t>1) уклонение или отказ участника закупки от заключения договора;</w:t>
      </w:r>
    </w:p>
    <w:p>
      <w:pPr>
        <w:pStyle w:val="Normal"/>
        <w:ind w:firstLine="567"/>
        <w:jc w:val="both"/>
        <w:rPr>
          <w:rFonts w:eastAsia="Calibri"/>
        </w:rPr>
      </w:pPr>
      <w:r>
        <w:rPr>
          <w:rFonts w:eastAsia="Calibri"/>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pPr>
        <w:pStyle w:val="Normal"/>
        <w:ind w:firstLine="567"/>
        <w:jc w:val="both"/>
        <w:rPr/>
      </w:pPr>
      <w:r>
        <w:rPr/>
        <w:t>16.6.3. Обеспечение заявки на участие в запросе предложений возвращается:</w:t>
      </w:r>
    </w:p>
    <w:p>
      <w:pPr>
        <w:pStyle w:val="Normal"/>
        <w:ind w:firstLine="567"/>
        <w:jc w:val="both"/>
        <w:rPr/>
      </w:pPr>
      <w:r>
        <w:rPr/>
        <w:t>16.6.3.1. участникам закупки, претендентам, внесшим обеспечение заявок на участие в запросе предложений - в течение 7 рабочих дней со дня принятия решения об отказе от проведения запроса предложений;</w:t>
      </w:r>
    </w:p>
    <w:p>
      <w:pPr>
        <w:pStyle w:val="Normal"/>
        <w:ind w:firstLine="567"/>
        <w:jc w:val="both"/>
        <w:rPr/>
      </w:pPr>
      <w:r>
        <w:rPr/>
        <w:t xml:space="preserve">16.6.3.2. участнику закупки, подавшему заявку на участие в запросе предложений, полученную после окончания приема заявок - в течение 7 рабочих дней </w:t>
      </w:r>
      <w:hyperlink w:anchor="sub_10096">
        <w:r>
          <w:rPr>
            <w:rStyle w:val="ListLabel5"/>
          </w:rPr>
          <w:t>со дня получения такой заявки;</w:t>
        </w:r>
      </w:hyperlink>
    </w:p>
    <w:p>
      <w:pPr>
        <w:pStyle w:val="Normal"/>
        <w:ind w:firstLine="567"/>
        <w:jc w:val="both"/>
        <w:rPr/>
      </w:pPr>
      <w:r>
        <w:rPr/>
        <w:t>16.6.3.3. участнику закупки, подавшему заявку на участие в запросе предложений и отозвавшему такую заявку до дня и времени начала рассмотрения заявок на участие в запросе предложений - в течение 7 рабочих дней со дня поступления заказчику уведомления об отзыве заявки;</w:t>
      </w:r>
    </w:p>
    <w:p>
      <w:pPr>
        <w:pStyle w:val="Normal"/>
        <w:ind w:firstLine="567"/>
        <w:jc w:val="both"/>
        <w:rPr/>
      </w:pPr>
      <w:r>
        <w:rPr/>
        <w:t>16.6.3.4. участнику закупки, подавшему единственную заявку на участие в запросе предложений, которая соответствует всем требованиям и условиям, предусмотренным документацией о проведении запроса предложений - в течение 7 рабочих дней со дня заключения договора с таким участником;</w:t>
      </w:r>
    </w:p>
    <w:p>
      <w:pPr>
        <w:pStyle w:val="Normal"/>
        <w:ind w:firstLine="567"/>
        <w:jc w:val="both"/>
        <w:rPr/>
      </w:pPr>
      <w:r>
        <w:rPr/>
        <w:t>16.6.3.5. участнику закупки, заявка на участие в запросе предложений которого была отклонена от участия в запросе предложений, как несоответствующая документации о проведении запроса предложений - в течение 7 рабочих дней со дня размещения в единой информационной системе протокола о результатах запроса предложений;</w:t>
      </w:r>
    </w:p>
    <w:p>
      <w:pPr>
        <w:pStyle w:val="Normal"/>
        <w:ind w:firstLine="567"/>
        <w:jc w:val="both"/>
        <w:rPr/>
      </w:pPr>
      <w:r>
        <w:rPr/>
        <w:t xml:space="preserve">16.6.3.6. участнику закупки, который не стал победителем, за исключением участника, заявке которого, был присвоен второй порядковый номер - в течение 7 рабочих </w:t>
      </w:r>
      <w:hyperlink w:anchor="sub_10100">
        <w:r>
          <w:rPr>
            <w:rStyle w:val="ListLabel5"/>
          </w:rPr>
          <w:t>дней со дня подписания протокола о результатах запроса предложений;</w:t>
        </w:r>
      </w:hyperlink>
    </w:p>
    <w:p>
      <w:pPr>
        <w:pStyle w:val="Normal"/>
        <w:ind w:firstLine="567"/>
        <w:jc w:val="both"/>
        <w:rPr/>
      </w:pPr>
      <w:r>
        <w:rPr/>
        <w:t>16.6.3.7. участника, заявке которого, был присвоен второй порядковый номер - в течение 7 рабочих дней со дня заключения договора с победителем или с таким участником запроса предложений;</w:t>
      </w:r>
    </w:p>
    <w:p>
      <w:pPr>
        <w:pStyle w:val="Normal"/>
        <w:ind w:firstLine="567"/>
        <w:jc w:val="both"/>
        <w:rPr/>
      </w:pPr>
      <w:r>
        <w:rPr/>
        <w:t>16.6.3.8. победителю запроса предложений - в течение 7 рабочих дней со дня заключения с ним договора в случае, если документацией о проведении запроса предложений не было предусмотрено предоставления обеспечения исполнения договора.</w:t>
      </w:r>
    </w:p>
    <w:p>
      <w:pPr>
        <w:pStyle w:val="Normal"/>
        <w:ind w:firstLine="567"/>
        <w:jc w:val="both"/>
        <w:rPr/>
      </w:pPr>
      <w:r>
        <w:rPr/>
        <w:t xml:space="preserve">В случае, если документацией о проведении запроса предложений было предусмотрено предоставления обеспечения исполнения договора, победителю обеспечение заявки возвращается в течение 7 рабочих </w:t>
      </w:r>
      <w:hyperlink w:anchor="sub_10103">
        <w:r>
          <w:rPr>
            <w:rStyle w:val="ListLabel5"/>
          </w:rPr>
          <w:t>дней со дня заключения договора и предоставления обеспечения исполнения договора.</w:t>
        </w:r>
      </w:hyperlink>
    </w:p>
    <w:p>
      <w:pPr>
        <w:pStyle w:val="Normal"/>
        <w:ind w:firstLine="567"/>
        <w:jc w:val="center"/>
        <w:rPr>
          <w:b/>
          <w:b/>
          <w:bCs/>
          <w:color w:val="C00000"/>
        </w:rPr>
      </w:pPr>
      <w:r>
        <w:rPr>
          <w:b/>
          <w:bCs/>
          <w:color w:val="C00000"/>
        </w:rPr>
      </w:r>
    </w:p>
    <w:p>
      <w:pPr>
        <w:pStyle w:val="Normal"/>
        <w:ind w:firstLine="567"/>
        <w:jc w:val="center"/>
        <w:rPr>
          <w:b/>
          <w:b/>
          <w:bCs/>
        </w:rPr>
      </w:pPr>
      <w:r>
        <w:rPr>
          <w:b/>
          <w:bCs/>
        </w:rPr>
        <w:t>16.7. Порядок приема заявок на участие в запросе предложений</w:t>
      </w:r>
    </w:p>
    <w:p>
      <w:pPr>
        <w:pStyle w:val="Normal"/>
        <w:ind w:firstLine="567"/>
        <w:jc w:val="both"/>
        <w:rPr>
          <w:b/>
          <w:b/>
          <w:bCs/>
        </w:rPr>
      </w:pPr>
      <w:r>
        <w:rPr>
          <w:b/>
          <w:bCs/>
        </w:rPr>
      </w:r>
      <w:bookmarkStart w:id="135" w:name="_Hlk533592090"/>
      <w:bookmarkStart w:id="136" w:name="_Hlk533592090"/>
      <w:bookmarkEnd w:id="136"/>
    </w:p>
    <w:p>
      <w:pPr>
        <w:pStyle w:val="Normal"/>
        <w:ind w:firstLine="567"/>
        <w:jc w:val="both"/>
        <w:rPr/>
      </w:pPr>
      <w:r>
        <w:rPr/>
        <w:t>16.7.1. Со дня размещения извещения в единой информационной системе и до окончания срока подачи заявок на участие в запросе предложений, установленного в извещении о проведении запроса предложений, заявки представляются по форме и в порядке, которые указаны в документации о проведении запроса предложений.</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16.7.2. Заявка на участие в запросе предложений в электронной форме направляется участником такой закупки оператору электронной площадки в электронной форме.</w:t>
      </w:r>
    </w:p>
    <w:p>
      <w:pPr>
        <w:pStyle w:val="Normal"/>
        <w:ind w:firstLine="567"/>
        <w:jc w:val="both"/>
        <w:rPr/>
      </w:pPr>
      <w:r>
        <w:rPr/>
        <w:t>Заявка на участие в запросе предложений должна содержать всю указанную Заказчиком в документации о проведении запроса предложений информацию.</w:t>
      </w:r>
    </w:p>
    <w:p>
      <w:pPr>
        <w:pStyle w:val="Normal"/>
        <w:ind w:firstLine="567"/>
        <w:jc w:val="both"/>
        <w:rPr/>
      </w:pPr>
      <w:r>
        <w:rPr/>
        <w:t>16.7.2.1. Заказчик вправе требовать от участника запроса предложений иные документы и информацию, указав перечень документов в документации о проведении запроса предложений.</w:t>
      </w:r>
    </w:p>
    <w:p>
      <w:pPr>
        <w:pStyle w:val="Normal"/>
        <w:ind w:firstLine="567"/>
        <w:jc w:val="both"/>
        <w:rPr>
          <w:sz w:val="28"/>
          <w:szCs w:val="28"/>
        </w:rPr>
      </w:pPr>
      <w:r>
        <w:rPr/>
        <w:t>16.7.3. Заказчик обеспечивает рассмотрение заявок на участие в запросе предложений только после открытия доступа к поданным в форме электронных документов заявкам на участие в запросе предложений.</w:t>
      </w:r>
      <w:r>
        <w:rPr>
          <w:sz w:val="28"/>
          <w:szCs w:val="28"/>
        </w:rPr>
        <w:t xml:space="preserve"> </w:t>
      </w:r>
    </w:p>
    <w:p>
      <w:pPr>
        <w:pStyle w:val="Normal"/>
        <w:ind w:firstLine="567"/>
        <w:jc w:val="both"/>
        <w:rPr/>
      </w:pPr>
      <w:r>
        <w:rPr/>
        <w:t>16.7.4. Участник закупки вправе изменить или отозвать ранее поданную заявку на участие в запросе предложений в порядке, предусмотренном документацией о проведении запроса предложений.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pPr>
        <w:pStyle w:val="Normal"/>
        <w:ind w:firstLine="567"/>
        <w:jc w:val="both"/>
        <w:rPr/>
      </w:pPr>
      <w:r>
        <w:rPr/>
        <w:t>16.7.5. 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pPr>
        <w:pStyle w:val="Normal"/>
        <w:ind w:firstLine="567"/>
        <w:jc w:val="both"/>
        <w:rPr/>
      </w:pPr>
      <w:r>
        <w:rPr/>
        <w:t>16.7.6. 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закупкам осуществит вскрытие конверта с такой заявкой и рассмотрит ее в порядке, установленном настоящим Положением.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pPr>
        <w:pStyle w:val="Normal"/>
        <w:ind w:firstLine="567"/>
        <w:jc w:val="both"/>
        <w:rPr/>
      </w:pPr>
      <w:r>
        <w:rPr/>
      </w:r>
    </w:p>
    <w:p>
      <w:pPr>
        <w:pStyle w:val="Normal"/>
        <w:ind w:firstLine="567"/>
        <w:jc w:val="center"/>
        <w:rPr>
          <w:b/>
          <w:b/>
          <w:bCs/>
        </w:rPr>
      </w:pPr>
      <w:r>
        <w:rPr>
          <w:b/>
          <w:bCs/>
        </w:rPr>
        <w:t>16.8. Оценка и сопоставление заявок на участие в запросе предложений</w:t>
      </w:r>
    </w:p>
    <w:p>
      <w:pPr>
        <w:pStyle w:val="Normal"/>
        <w:ind w:firstLine="567"/>
        <w:jc w:val="both"/>
        <w:rPr>
          <w:b/>
          <w:b/>
          <w:bCs/>
        </w:rPr>
      </w:pPr>
      <w:r>
        <w:rPr>
          <w:b/>
          <w:bCs/>
        </w:rPr>
      </w:r>
      <w:bookmarkStart w:id="137" w:name="_Hlk533592104"/>
      <w:bookmarkStart w:id="138" w:name="_Hlk533592104"/>
      <w:bookmarkEnd w:id="138"/>
    </w:p>
    <w:p>
      <w:pPr>
        <w:pStyle w:val="Normal"/>
        <w:ind w:firstLine="567"/>
        <w:jc w:val="both"/>
        <w:rPr/>
      </w:pPr>
      <w:r>
        <w:rPr/>
        <w:t>Оценка и сопоставление заявок на участие в запросе предложений осуществляется в следующем порядке:</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 xml:space="preserve">16.8.1. В день, во время, указанные в извещении о проведении запроса предложений открывается доступ к поданным в форме электронного документа заявкам на участие в запросе предложений. </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16.8.2. 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заявки такого участника не рассматриваются.</w:t>
      </w:r>
    </w:p>
    <w:p>
      <w:pPr>
        <w:pStyle w:val="Normal"/>
        <w:ind w:firstLine="567"/>
        <w:jc w:val="both"/>
        <w:rPr/>
      </w:pPr>
      <w:r>
        <w:rPr/>
        <w:t>16.8.3. Заявка участника закупки будет отклонена в случаях:</w:t>
      </w:r>
    </w:p>
    <w:p>
      <w:pPr>
        <w:pStyle w:val="Normal"/>
        <w:ind w:firstLine="567"/>
        <w:jc w:val="both"/>
        <w:rPr/>
      </w:pPr>
      <w:r>
        <w:rPr/>
        <w:t>16.8.3.1. непредставления оригиналов и копий документов, а также иных сведений, требование о наличии которых установлено документацией;</w:t>
      </w:r>
    </w:p>
    <w:p>
      <w:pPr>
        <w:pStyle w:val="Normal"/>
        <w:ind w:firstLine="567"/>
        <w:jc w:val="both"/>
        <w:rPr/>
      </w:pPr>
      <w:r>
        <w:rPr/>
        <w:t>16.8.3.2. несоответствия участника закупки требованиям к участникам закупки, установленным документацией о проведении запроса предложений;</w:t>
      </w:r>
    </w:p>
    <w:p>
      <w:pPr>
        <w:pStyle w:val="Normal"/>
        <w:ind w:firstLine="567"/>
        <w:jc w:val="both"/>
        <w:rPr/>
      </w:pPr>
      <w:r>
        <w:rPr/>
        <w:t>16.8.3.3. несоответствия заявки на участие в запросе предложений требованиям к заявкам, установленным документацией о проведении запроса предложений, в том числе непредставления документа, подтверждающего внесение обеспечения заявки на участие в запросе предложений;</w:t>
      </w:r>
    </w:p>
    <w:p>
      <w:pPr>
        <w:pStyle w:val="Normal"/>
        <w:ind w:firstLine="567"/>
        <w:jc w:val="both"/>
        <w:rPr/>
      </w:pPr>
      <w:r>
        <w:rPr/>
        <w:t>16.8.3.4. несоответствия предлагаемых товаров, работ, услуг требованиям документации;</w:t>
      </w:r>
    </w:p>
    <w:p>
      <w:pPr>
        <w:pStyle w:val="Normal"/>
        <w:ind w:firstLine="567"/>
        <w:jc w:val="both"/>
        <w:rPr/>
      </w:pPr>
      <w:r>
        <w:rPr/>
        <w:t>16.8.3.5. непредставления обеспечения заявки;</w:t>
      </w:r>
    </w:p>
    <w:p>
      <w:pPr>
        <w:pStyle w:val="Normal"/>
        <w:ind w:firstLine="567"/>
        <w:jc w:val="both"/>
        <w:rPr/>
      </w:pPr>
      <w:r>
        <w:rPr/>
        <w:t>16.8.3.6. предоставления в составе заявки заведомо ложных сведений, намеренного искажения информации или документов, входящих в состав заявки.</w:t>
      </w:r>
    </w:p>
    <w:p>
      <w:pPr>
        <w:pStyle w:val="Normal"/>
        <w:ind w:firstLine="567"/>
        <w:jc w:val="both"/>
        <w:rPr/>
      </w:pPr>
      <w:r>
        <w:rPr/>
        <w:t>16.8.4. Отклонение заявки на участие в запросе предложений по иным основаниям, не указанным в пункте 16.8.3. не допускается.</w:t>
      </w:r>
    </w:p>
    <w:p>
      <w:pPr>
        <w:pStyle w:val="Normal"/>
        <w:ind w:firstLine="567"/>
        <w:jc w:val="both"/>
        <w:rPr/>
      </w:pPr>
      <w:r>
        <w:rPr/>
        <w:t xml:space="preserve">16.8.5. Оценка осуществляется в строгом соответствии с критериями и процедурами, указанными в документации о проведении запроса предложений. </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16.8.6. Критериями оценки заявок на участие в запросе предложений могут быть:</w:t>
      </w:r>
    </w:p>
    <w:p>
      <w:pPr>
        <w:pStyle w:val="ConsPlusNormal2"/>
        <w:spacing w:before="0" w:after="0"/>
        <w:ind w:firstLine="567"/>
        <w:contextualSpacing/>
        <w:jc w:val="both"/>
        <w:rPr>
          <w:rFonts w:ascii="Times New Roman" w:hAnsi="Times New Roman" w:cs="Times New Roman"/>
          <w:sz w:val="24"/>
          <w:szCs w:val="24"/>
        </w:rPr>
      </w:pPr>
      <w:bookmarkStart w:id="139" w:name="P839"/>
      <w:bookmarkEnd w:id="139"/>
      <w:r>
        <w:rPr>
          <w:rFonts w:cs="Times New Roman" w:ascii="Times New Roman" w:hAnsi="Times New Roman"/>
          <w:sz w:val="24"/>
          <w:szCs w:val="24"/>
        </w:rPr>
        <w:t>1) цена;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pPr>
        <w:pStyle w:val="ConsPlusNormal2"/>
        <w:spacing w:before="0" w:after="0"/>
        <w:ind w:firstLine="567"/>
        <w:contextualSpacing/>
        <w:jc w:val="both"/>
        <w:rPr>
          <w:rFonts w:ascii="Times New Roman" w:hAnsi="Times New Roman" w:cs="Times New Roman"/>
          <w:sz w:val="24"/>
          <w:szCs w:val="24"/>
        </w:rPr>
      </w:pPr>
      <w:bookmarkStart w:id="140" w:name="P841"/>
      <w:bookmarkEnd w:id="140"/>
      <w:r>
        <w:rPr>
          <w:rFonts w:cs="Times New Roman" w:ascii="Times New Roman" w:hAnsi="Times New Roman"/>
          <w:sz w:val="24"/>
          <w:szCs w:val="24"/>
        </w:rPr>
        <w:t>3) расходы на эксплуатацию товара;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расходы на техническое обслуживание товара;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 сроки (периоды) поставки товара, выполнения работ, оказания услуг;</w:t>
      </w:r>
    </w:p>
    <w:p>
      <w:pPr>
        <w:pStyle w:val="ConsPlusNormal2"/>
        <w:spacing w:before="0" w:after="0"/>
        <w:ind w:firstLine="567"/>
        <w:contextualSpacing/>
        <w:jc w:val="both"/>
        <w:rPr>
          <w:rFonts w:ascii="Times New Roman" w:hAnsi="Times New Roman" w:cs="Times New Roman"/>
          <w:sz w:val="24"/>
          <w:szCs w:val="24"/>
        </w:rPr>
      </w:pPr>
      <w:bookmarkStart w:id="141" w:name="P844"/>
      <w:bookmarkEnd w:id="141"/>
      <w:r>
        <w:rPr>
          <w:rFonts w:cs="Times New Roman" w:ascii="Times New Roman" w:hAnsi="Times New Roman"/>
          <w:sz w:val="24"/>
          <w:szCs w:val="24"/>
        </w:rPr>
        <w:t>6) срок, на который предоставляются гарантии качества товара, работ, услуг;</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7) деловая репутация участника закупок;</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9) квалификация участника закупки;</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10) квалификация работников участника закупки.</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Для каждого критерия оценки в документации устанавливается его значимость. Совокупная значимость критериев оценки должна составлять 100 процентов.</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16.8.6.2.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pPr>
        <w:pStyle w:val="Normal"/>
        <w:spacing w:before="0" w:after="0"/>
        <w:ind w:firstLine="567"/>
        <w:contextualSpacing/>
        <w:jc w:val="both"/>
        <w:rPr/>
      </w:pPr>
      <w:r>
        <w:rPr/>
        <w:t>16.8.7. Переторжка (регулирование цены) проводится в порядке, установленном пунктом 9.9.9.</w:t>
      </w:r>
    </w:p>
    <w:p>
      <w:pPr>
        <w:pStyle w:val="Normal"/>
        <w:ind w:firstLine="567"/>
        <w:jc w:val="center"/>
        <w:rPr>
          <w:b/>
          <w:b/>
          <w:bCs/>
        </w:rPr>
      </w:pPr>
      <w:r>
        <w:rPr>
          <w:b/>
          <w:bCs/>
        </w:rPr>
      </w:r>
    </w:p>
    <w:p>
      <w:pPr>
        <w:pStyle w:val="Normal"/>
        <w:ind w:firstLine="567"/>
        <w:jc w:val="center"/>
        <w:rPr>
          <w:b/>
          <w:b/>
          <w:bCs/>
        </w:rPr>
      </w:pPr>
      <w:r>
        <w:rPr>
          <w:b/>
          <w:bCs/>
        </w:rPr>
        <w:t>16.9. Определение победителя запроса предложений</w:t>
      </w:r>
    </w:p>
    <w:p>
      <w:pPr>
        <w:pStyle w:val="Normal"/>
        <w:ind w:firstLine="567"/>
        <w:jc w:val="center"/>
        <w:rPr>
          <w:b/>
          <w:b/>
          <w:bCs/>
        </w:rPr>
      </w:pPr>
      <w:r>
        <w:rPr>
          <w:b/>
          <w:bCs/>
        </w:rPr>
      </w:r>
      <w:bookmarkStart w:id="142" w:name="_Hlk533592127"/>
      <w:bookmarkStart w:id="143" w:name="_Hlk533592127"/>
      <w:bookmarkEnd w:id="143"/>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 xml:space="preserve">16.9.1. Победителем устанавливается участник, наилучшим образом соответствующий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признается предложение, которое поступило раньше. </w:t>
      </w:r>
    </w:p>
    <w:p>
      <w:pPr>
        <w:pStyle w:val="Normal"/>
        <w:ind w:firstLine="567"/>
        <w:jc w:val="both"/>
        <w:rPr/>
      </w:pPr>
      <w:r>
        <w:rPr/>
        <w:t>16.9.2. 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сведения в соответствии с пунктами 8.5.2 настоящего Положения о закупке, а также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p>
    <w:p>
      <w:pPr>
        <w:pStyle w:val="Normal"/>
        <w:ind w:firstLine="567"/>
        <w:jc w:val="both"/>
        <w:rPr/>
      </w:pPr>
      <w:r>
        <w:rPr/>
        <w:t>16.9.3 Указанный протокол размещается заказчиком в ЕИС не позднее чем через 3 дня со дня подписания такого протокола.</w:t>
      </w:r>
    </w:p>
    <w:p>
      <w:pPr>
        <w:pStyle w:val="Normal"/>
        <w:ind w:firstLine="567"/>
        <w:jc w:val="both"/>
        <w:rPr/>
      </w:pPr>
      <w:r>
        <w:rPr/>
        <w:t>16.9.4. В случае уклонения победителя запроса предложений от заключения договора, заказчик вправе заключить договор с участником, заявке которого по результатам оценки и сопоставления заявок на участие в запросе предложений был присвоен второй номер, на условиях проекта договора, прилагаемого к документации запроса предложений, и условиях исполнения договора, предложенных данным участником в заявке на участие в запросе предложений. Такой участник не вправе отказаться от заключения договора.</w:t>
      </w:r>
    </w:p>
    <w:p>
      <w:pPr>
        <w:pStyle w:val="Normal"/>
        <w:ind w:firstLine="567"/>
        <w:jc w:val="both"/>
        <w:rPr/>
      </w:pPr>
      <w:r>
        <w:rPr/>
        <w:t>16.9.5. В случае уклонения участника, заявке которого был присвоен второй номер, от заключения договора запрос предложений признается несостоявшимся.</w:t>
      </w:r>
    </w:p>
    <w:p>
      <w:pPr>
        <w:pStyle w:val="Normal"/>
        <w:ind w:firstLine="567"/>
        <w:jc w:val="both"/>
        <w:rPr/>
      </w:pPr>
      <w:r>
        <w:rPr/>
      </w:r>
    </w:p>
    <w:p>
      <w:pPr>
        <w:pStyle w:val="Normal"/>
        <w:ind w:firstLine="567"/>
        <w:jc w:val="center"/>
        <w:rPr>
          <w:b/>
          <w:b/>
          <w:bCs/>
        </w:rPr>
      </w:pPr>
      <w:r>
        <w:rPr>
          <w:b/>
          <w:bCs/>
        </w:rPr>
        <w:t>16.10. Последствия признания запроса предложений несостоявшимся</w:t>
      </w:r>
    </w:p>
    <w:p>
      <w:pPr>
        <w:pStyle w:val="Normal"/>
        <w:ind w:firstLine="567"/>
        <w:jc w:val="center"/>
        <w:rPr>
          <w:b/>
          <w:b/>
          <w:bCs/>
        </w:rPr>
      </w:pPr>
      <w:r>
        <w:rPr>
          <w:b/>
          <w:bCs/>
        </w:rPr>
      </w:r>
      <w:bookmarkStart w:id="144" w:name="_Hlk533592150"/>
      <w:bookmarkStart w:id="145" w:name="_Hlk533592150"/>
      <w:bookmarkEnd w:id="145"/>
    </w:p>
    <w:p>
      <w:pPr>
        <w:pStyle w:val="Normal"/>
        <w:ind w:firstLine="567"/>
        <w:jc w:val="both"/>
        <w:rPr/>
      </w:pPr>
      <w:r>
        <w:rPr/>
        <w:t>16.10.1. В случае, если запрос предложений признан несостоявшимся и (или) договор не заключен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заключает договор с единственным поставщиком (исполнителем, подрядчиком) в соответствии с пунктом 6.3.6.2. настоящего Положения и в порядке, предусмотренном настоящим Положением.</w:t>
      </w:r>
    </w:p>
    <w:p>
      <w:pPr>
        <w:pStyle w:val="Normal"/>
        <w:ind w:firstLine="567"/>
        <w:jc w:val="both"/>
        <w:rPr>
          <w:color w:val="C00000"/>
        </w:rPr>
      </w:pPr>
      <w:r>
        <w:rPr>
          <w:color w:val="C00000"/>
        </w:rPr>
        <w:t>.</w:t>
      </w:r>
    </w:p>
    <w:p>
      <w:pPr>
        <w:pStyle w:val="Normal"/>
        <w:ind w:firstLine="567"/>
        <w:jc w:val="center"/>
        <w:rPr>
          <w:b/>
          <w:b/>
          <w:bCs/>
        </w:rPr>
      </w:pPr>
      <w:r>
        <w:rPr>
          <w:b/>
          <w:bCs/>
        </w:rPr>
        <w:t>17. ОСОБЕННОСТИ ПРОВЕДЕНИЯ ЗАКРЫТОГО ЗАПРОСА ПРЕДЛОЖЕНИЙ</w:t>
      </w:r>
    </w:p>
    <w:p>
      <w:pPr>
        <w:pStyle w:val="Normal"/>
        <w:ind w:firstLine="567"/>
        <w:jc w:val="center"/>
        <w:rPr>
          <w:b/>
          <w:b/>
          <w:bCs/>
        </w:rPr>
      </w:pPr>
      <w:r>
        <w:rPr>
          <w:b/>
          <w:bCs/>
        </w:rPr>
      </w:r>
      <w:bookmarkStart w:id="146" w:name="_Hlk533592180"/>
      <w:bookmarkStart w:id="147" w:name="_Hlk533592180"/>
      <w:bookmarkEnd w:id="147"/>
    </w:p>
    <w:p>
      <w:pPr>
        <w:pStyle w:val="Normal"/>
        <w:ind w:firstLine="567"/>
        <w:jc w:val="both"/>
        <w:rPr/>
      </w:pPr>
      <w:r>
        <w:rPr/>
        <w:t>17.1. Закрытый запрос предложений проводится в порядке проведения открытого запроса предложений, с учетом положений настоящего пункта.</w:t>
      </w:r>
    </w:p>
    <w:p>
      <w:pPr>
        <w:pStyle w:val="Normal"/>
        <w:ind w:firstLine="567"/>
        <w:jc w:val="both"/>
        <w:rPr/>
      </w:pPr>
      <w:r>
        <w:rPr/>
        <w:t>17.2. При проведении закрытого запроса предложений извещение о проведении закрытого запроса предложений не требуется. Документация о закупке и изменения, внесенные в документацию о закупке, а также разъяснения такой документации не подлежат опубликованию в средствах массовой информации и размещению в единой информационной системе. Заказчик в сроки, установленные для размещения извещения о закупке на официальном сайте, направляет приглашения принять участие в закрытом запросе предложений на бумажном носителе, которые удовлетворяют требованиям, предусмотренным настоящим Положением, в соответствии со сформированным перечнем лиц. В указанных приглашениях должны содержаться сведения, предусмотренные требованиями пунктов 8.3.1 и 16.2.2 настоящего Положения.</w:t>
      </w:r>
    </w:p>
    <w:p>
      <w:pPr>
        <w:pStyle w:val="Normal"/>
        <w:ind w:firstLine="567"/>
        <w:jc w:val="both"/>
        <w:rPr/>
      </w:pPr>
      <w:r>
        <w:rPr/>
        <w:t>17.3. При проведении закрытого запроса предложений не допускается предоставлять документацию о закупке, изменения, внесенные в нее,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w:t>
      </w:r>
    </w:p>
    <w:p>
      <w:pPr>
        <w:pStyle w:val="Normal"/>
        <w:ind w:firstLine="567"/>
        <w:jc w:val="both"/>
        <w:rPr/>
      </w:pPr>
      <w:r>
        <w:rPr/>
        <w:t>17.4. Протоколы, формируемые по результатам заседания комиссии по закупке, не подлежат опубликованию в средствах массовой информации и размещению в единой информационной системе. Заказчик не позднее трех рабочих дней со дня подписания соответствующего протокола, направляет копии соответствующего протокола участникам, подавшим заявки на участие в запросе предложений.</w:t>
      </w:r>
    </w:p>
    <w:p>
      <w:pPr>
        <w:pStyle w:val="Normal"/>
        <w:ind w:firstLine="567"/>
        <w:jc w:val="center"/>
        <w:rPr>
          <w:b/>
          <w:b/>
          <w:bCs/>
        </w:rPr>
      </w:pPr>
      <w:r>
        <w:rPr>
          <w:b/>
          <w:bCs/>
        </w:rPr>
      </w:r>
    </w:p>
    <w:p>
      <w:pPr>
        <w:pStyle w:val="Normal"/>
        <w:ind w:firstLine="567"/>
        <w:jc w:val="center"/>
        <w:rPr>
          <w:b/>
          <w:b/>
          <w:bCs/>
        </w:rPr>
      </w:pPr>
      <w:r>
        <w:rPr>
          <w:b/>
          <w:bCs/>
        </w:rPr>
        <w:t>18. ПОРЯДОК ПРОВЕДЕНИЯ ЗАПРОСА КОТИРОВОК</w:t>
      </w:r>
    </w:p>
    <w:p>
      <w:pPr>
        <w:pStyle w:val="Normal"/>
        <w:ind w:firstLine="567"/>
        <w:jc w:val="center"/>
        <w:rPr>
          <w:b/>
          <w:b/>
          <w:bCs/>
        </w:rPr>
      </w:pPr>
      <w:r>
        <w:rPr>
          <w:b/>
          <w:bCs/>
        </w:rPr>
      </w:r>
    </w:p>
    <w:p>
      <w:pPr>
        <w:pStyle w:val="Normal"/>
        <w:ind w:firstLine="567"/>
        <w:jc w:val="center"/>
        <w:rPr>
          <w:b/>
          <w:b/>
          <w:bCs/>
        </w:rPr>
      </w:pPr>
      <w:r>
        <w:rPr>
          <w:b/>
          <w:bCs/>
        </w:rPr>
        <w:t xml:space="preserve">18.1. Общий порядок проведения запроса котировок </w:t>
      </w:r>
    </w:p>
    <w:p>
      <w:pPr>
        <w:pStyle w:val="Normal"/>
        <w:ind w:firstLine="567"/>
        <w:jc w:val="center"/>
        <w:rPr>
          <w:b/>
          <w:b/>
          <w:bCs/>
        </w:rPr>
      </w:pPr>
      <w:r>
        <w:rPr>
          <w:b/>
          <w:bCs/>
        </w:rPr>
      </w:r>
      <w:bookmarkStart w:id="148" w:name="_Hlk533592197"/>
      <w:bookmarkStart w:id="149" w:name="_Hlk533592197"/>
      <w:bookmarkEnd w:id="149"/>
    </w:p>
    <w:p>
      <w:pPr>
        <w:pStyle w:val="Normal"/>
        <w:spacing w:before="0" w:after="0"/>
        <w:ind w:firstLine="567"/>
        <w:contextualSpacing/>
        <w:jc w:val="both"/>
        <w:rPr>
          <w:rFonts w:eastAsia="Calibri"/>
          <w:bCs/>
        </w:rPr>
      </w:pPr>
      <w:r>
        <w:rPr>
          <w:rFonts w:eastAsia="Calibri"/>
          <w:bCs/>
        </w:rPr>
        <w:t>18.1.1. Под запросом котировок в целях настоящего Положения о закупках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18.1.2. Заказчик вправе принять решение о проведении запроса котировок при необходимости осуществить срочную закупку товаров, работ, услуг, когда невозможно провести аукцион из-за длительности процедуры.</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18.1.3.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pPr>
        <w:pStyle w:val="Normal"/>
        <w:ind w:firstLine="567"/>
        <w:jc w:val="center"/>
        <w:rPr>
          <w:bCs/>
          <w:color w:val="C00000"/>
        </w:rPr>
      </w:pPr>
      <w:r>
        <w:rPr>
          <w:bCs/>
          <w:color w:val="C00000"/>
        </w:rPr>
      </w:r>
    </w:p>
    <w:p>
      <w:pPr>
        <w:pStyle w:val="Normal"/>
        <w:ind w:firstLine="567"/>
        <w:jc w:val="center"/>
        <w:rPr>
          <w:b/>
          <w:b/>
          <w:bCs/>
        </w:rPr>
      </w:pPr>
      <w:r>
        <w:rPr>
          <w:b/>
          <w:bCs/>
        </w:rPr>
        <w:t>18.2. Извещение о проведении запроса котировок</w:t>
      </w:r>
      <w:bookmarkStart w:id="150" w:name="_Hlk533592242"/>
      <w:bookmarkEnd w:id="150"/>
    </w:p>
    <w:p>
      <w:pPr>
        <w:pStyle w:val="Normal"/>
        <w:spacing w:before="240" w:after="0"/>
        <w:ind w:firstLine="567"/>
        <w:jc w:val="both"/>
        <w:rPr>
          <w:rFonts w:eastAsia="Calibri"/>
          <w:bCs/>
        </w:rPr>
      </w:pPr>
      <w:r>
        <w:rPr>
          <w:color w:val="C00000"/>
        </w:rPr>
        <w:t xml:space="preserve">  </w:t>
      </w:r>
      <w:r>
        <w:rPr/>
        <w:t>18.2.1</w:t>
      </w:r>
      <w:r>
        <w:rPr>
          <w:color w:val="C00000"/>
        </w:rPr>
        <w:t xml:space="preserve">. </w:t>
      </w:r>
      <w:r>
        <w:rPr>
          <w:rFonts w:eastAsia="Calibri"/>
          <w:bCs/>
        </w:rPr>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pPr>
        <w:pStyle w:val="Normal"/>
        <w:ind w:firstLine="567"/>
        <w:jc w:val="both"/>
        <w:rPr>
          <w:color w:val="C00000"/>
        </w:rPr>
      </w:pPr>
      <w:r>
        <w:rPr/>
        <w:t>18.2.2. В извещении о проведении запроса котировок должны быть указаны сведения в соответствии с пунктом 8.3.1, а также могут быть указаны сведения и требования в соответствии с п. 8.4 настоящего Положения.</w:t>
      </w:r>
    </w:p>
    <w:p>
      <w:pPr>
        <w:pStyle w:val="Normal"/>
        <w:spacing w:before="0" w:after="0"/>
        <w:ind w:firstLine="567"/>
        <w:contextualSpacing/>
        <w:jc w:val="both"/>
        <w:rPr/>
      </w:pPr>
      <w:r>
        <w:rPr/>
        <w:t>18.2.3.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p>
    <w:p>
      <w:pPr>
        <w:pStyle w:val="Normal"/>
        <w:spacing w:before="0" w:after="0"/>
        <w:ind w:firstLine="567"/>
        <w:contextualSpacing/>
        <w:jc w:val="both"/>
        <w:rPr/>
      </w:pPr>
      <w:r>
        <w:rPr/>
        <w:t>18.2.3.1.</w:t>
      </w:r>
      <w:r>
        <w:rPr>
          <w:color w:val="C00000"/>
        </w:rPr>
        <w:t xml:space="preserve"> </w:t>
      </w:r>
      <w:r>
        <w:rPr/>
        <w:t>Не позднее</w:t>
      </w:r>
      <w:r>
        <w:rPr>
          <w:color w:val="C00000"/>
        </w:rPr>
        <w:t xml:space="preserve"> </w:t>
      </w:r>
      <w:r>
        <w:rPr/>
        <w:t>трех дней со дня принятия решения о необходимости изменения извещения о проведении запроса котировок такие изменения размещаются заказчиком в единой информационной системе.</w:t>
      </w:r>
    </w:p>
    <w:p>
      <w:pPr>
        <w:pStyle w:val="ConsPlusNormal2"/>
        <w:spacing w:before="0" w:after="0"/>
        <w:ind w:firstLine="567"/>
        <w:contextualSpacing/>
        <w:jc w:val="both"/>
        <w:rPr/>
      </w:pPr>
      <w:r>
        <w:rPr>
          <w:rFonts w:cs="Times New Roman" w:ascii="Times New Roman" w:hAnsi="Times New Roman"/>
          <w:sz w:val="24"/>
          <w:szCs w:val="24"/>
        </w:rPr>
        <w:t xml:space="preserve">18.2.3.2. В результате внесения указанных изменений срок подачи заявок на участие в запросе котировок должен быть продлен так, чтобы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r>
          <w:rPr>
            <w:rStyle w:val="ListLabel11"/>
            <w:rFonts w:cs="Times New Roman" w:ascii="Times New Roman" w:hAnsi="Times New Roman"/>
            <w:sz w:val="24"/>
            <w:szCs w:val="24"/>
          </w:rPr>
          <w:t>пункте</w:t>
        </w:r>
        <w:r>
          <w:rPr>
            <w:rStyle w:val="ListLabel11"/>
            <w:rFonts w:cs="Times New Roman" w:ascii="Times New Roman" w:hAnsi="Times New Roman"/>
            <w:color w:val="0000FF"/>
            <w:sz w:val="24"/>
            <w:szCs w:val="24"/>
          </w:rPr>
          <w:t xml:space="preserve"> </w:t>
        </w:r>
      </w:hyperlink>
      <w:r>
        <w:rPr>
          <w:rFonts w:cs="Times New Roman" w:ascii="Times New Roman" w:hAnsi="Times New Roman"/>
          <w:sz w:val="24"/>
          <w:szCs w:val="24"/>
        </w:rPr>
        <w:t>9.2.1 настоящего Положения.</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18.2.4. К извещению о проведении запроса котировок должен быть приложен проект договора.</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18.2.5.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pPr>
        <w:pStyle w:val="Normal"/>
        <w:ind w:firstLine="567"/>
        <w:jc w:val="both"/>
        <w:rPr/>
      </w:pPr>
      <w:r>
        <w:rPr/>
      </w:r>
    </w:p>
    <w:p>
      <w:pPr>
        <w:pStyle w:val="Normal"/>
        <w:ind w:firstLine="567"/>
        <w:jc w:val="center"/>
        <w:rPr>
          <w:b/>
          <w:b/>
          <w:bCs/>
        </w:rPr>
      </w:pPr>
      <w:r>
        <w:rPr>
          <w:b/>
          <w:bCs/>
        </w:rPr>
        <w:t>18.3. Документация о проведении запроса котировок</w:t>
      </w:r>
      <w:bookmarkStart w:id="151" w:name="_Hlk533592268"/>
      <w:bookmarkEnd w:id="151"/>
    </w:p>
    <w:p>
      <w:pPr>
        <w:pStyle w:val="Normal"/>
        <w:ind w:firstLine="567"/>
        <w:jc w:val="center"/>
        <w:rPr>
          <w:b/>
          <w:b/>
          <w:bCs/>
        </w:rPr>
      </w:pPr>
      <w:r>
        <w:rPr>
          <w:b/>
          <w:bCs/>
        </w:rPr>
      </w:r>
    </w:p>
    <w:p>
      <w:pPr>
        <w:pStyle w:val="Normal"/>
        <w:ind w:firstLine="567"/>
        <w:jc w:val="both"/>
        <w:rPr/>
      </w:pPr>
      <w:r>
        <w:rPr/>
        <w:t>При проведении запроса котировок Заказчик не составляет документацию о проведении запроса котировок.</w:t>
      </w:r>
    </w:p>
    <w:p>
      <w:pPr>
        <w:pStyle w:val="Normal"/>
        <w:ind w:firstLine="567"/>
        <w:jc w:val="center"/>
        <w:rPr/>
      </w:pPr>
      <w:r>
        <w:rPr/>
      </w:r>
    </w:p>
    <w:p>
      <w:pPr>
        <w:pStyle w:val="Normal"/>
        <w:ind w:firstLine="567"/>
        <w:jc w:val="center"/>
        <w:rPr>
          <w:b/>
          <w:b/>
          <w:bCs/>
        </w:rPr>
      </w:pPr>
      <w:r>
        <w:rPr>
          <w:b/>
          <w:bCs/>
        </w:rPr>
        <w:t>18.4. Отказ от проведения запроса котировок</w:t>
      </w:r>
    </w:p>
    <w:p>
      <w:pPr>
        <w:pStyle w:val="Normal"/>
        <w:ind w:firstLine="567"/>
        <w:jc w:val="center"/>
        <w:rPr>
          <w:b/>
          <w:b/>
          <w:bCs/>
        </w:rPr>
      </w:pPr>
      <w:r>
        <w:rPr>
          <w:b/>
          <w:bCs/>
        </w:rPr>
      </w:r>
      <w:bookmarkStart w:id="152" w:name="_Hlk533592283"/>
      <w:bookmarkStart w:id="153" w:name="_Hlk533592283"/>
      <w:bookmarkEnd w:id="153"/>
    </w:p>
    <w:p>
      <w:pPr>
        <w:pStyle w:val="Normal"/>
        <w:ind w:firstLine="567"/>
        <w:jc w:val="both"/>
        <w:rPr/>
      </w:pPr>
      <w:r>
        <w:rPr/>
        <w:t xml:space="preserve">18.4.1. Заказчик вправе принять решение об отказе от проведения запроса котировок до наступления даты и времени окончания срока подачи заявок на участие в закупке. </w:t>
      </w:r>
    </w:p>
    <w:p>
      <w:pPr>
        <w:pStyle w:val="Normal"/>
        <w:ind w:firstLine="567"/>
        <w:jc w:val="both"/>
        <w:rPr/>
      </w:pPr>
      <w:r>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pPr>
        <w:pStyle w:val="Normal"/>
        <w:ind w:firstLine="567"/>
        <w:jc w:val="both"/>
        <w:rPr/>
      </w:pPr>
      <w:r>
        <w:rPr/>
        <w:t>18.4.2. В случае принятия решения об отказе от проведения запроса котировок,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pPr>
        <w:pStyle w:val="Normal"/>
        <w:ind w:firstLine="567"/>
        <w:jc w:val="both"/>
        <w:rPr>
          <w:color w:val="C00000"/>
        </w:rPr>
      </w:pPr>
      <w:r>
        <w:rPr>
          <w:color w:val="C00000"/>
        </w:rPr>
      </w:r>
    </w:p>
    <w:p>
      <w:pPr>
        <w:pStyle w:val="Normal"/>
        <w:ind w:firstLine="567"/>
        <w:jc w:val="center"/>
        <w:rPr>
          <w:b/>
          <w:b/>
          <w:bCs/>
        </w:rPr>
      </w:pPr>
      <w:r>
        <w:rPr>
          <w:b/>
          <w:bCs/>
        </w:rPr>
        <w:t>18.5. Требования к котировочной заявке</w:t>
      </w:r>
      <w:bookmarkStart w:id="154" w:name="_Hlk533592298"/>
      <w:bookmarkEnd w:id="154"/>
    </w:p>
    <w:p>
      <w:pPr>
        <w:pStyle w:val="Normal"/>
        <w:ind w:firstLine="567"/>
        <w:jc w:val="center"/>
        <w:rPr>
          <w:b/>
          <w:b/>
          <w:bCs/>
        </w:rPr>
      </w:pPr>
      <w:r>
        <w:rPr>
          <w:b/>
          <w:bCs/>
        </w:rPr>
      </w:r>
    </w:p>
    <w:p>
      <w:pPr>
        <w:pStyle w:val="Normal"/>
        <w:ind w:firstLine="567"/>
        <w:jc w:val="both"/>
        <w:rPr/>
      </w:pPr>
      <w:r>
        <w:rPr/>
        <w:t>18.5.1.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pPr>
        <w:pStyle w:val="Normal"/>
        <w:ind w:firstLine="567"/>
        <w:jc w:val="both"/>
        <w:rPr/>
      </w:pPr>
      <w:r>
        <w:rPr/>
        <w:t>Участник запроса котировок подает заявку на участие в запросе котировок в форме электронного документа.</w:t>
      </w:r>
    </w:p>
    <w:p>
      <w:pPr>
        <w:pStyle w:val="Normal"/>
        <w:ind w:firstLine="567"/>
        <w:jc w:val="both"/>
        <w:rPr/>
      </w:pPr>
      <w:r>
        <w:rPr/>
        <w:t>18.5.2. Котировочная заявка должна содержать:</w:t>
      </w:r>
    </w:p>
    <w:p>
      <w:pPr>
        <w:pStyle w:val="Normal"/>
        <w:ind w:firstLine="567"/>
        <w:jc w:val="both"/>
        <w:rPr/>
      </w:pPr>
      <w:r>
        <w:rPr/>
        <w:t>18.5.2.1. для юридического лица, индивидуального предпринимателя, физического лица:</w:t>
      </w:r>
    </w:p>
    <w:p>
      <w:pPr>
        <w:pStyle w:val="Normal"/>
        <w:ind w:firstLine="567"/>
        <w:jc w:val="both"/>
        <w:rPr/>
      </w:pPr>
      <w:r>
        <w:rPr/>
        <w:t>а) заполненную форму котировочной заявки в соответствии с требованиями извещения о проведении запроса котировок (оригинал);</w:t>
      </w:r>
    </w:p>
    <w:p>
      <w:pPr>
        <w:pStyle w:val="Normal"/>
        <w:ind w:firstLine="567"/>
        <w:jc w:val="both"/>
        <w:rPr/>
      </w:pPr>
      <w:r>
        <w:rPr/>
        <w:t>б) анкету участника закупки по установленной в извещении о проведении запроса котировок форме;</w:t>
      </w:r>
    </w:p>
    <w:p>
      <w:pPr>
        <w:pStyle w:val="Normal"/>
        <w:ind w:firstLine="567"/>
        <w:jc w:val="both"/>
        <w:rPr/>
      </w:pPr>
      <w:r>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 (копии);</w:t>
      </w:r>
    </w:p>
    <w:p>
      <w:pPr>
        <w:pStyle w:val="Normal"/>
        <w:ind w:firstLine="567"/>
        <w:jc w:val="both"/>
        <w:rPr>
          <w:color w:val="C00000"/>
        </w:rPr>
      </w:pPr>
      <w:r>
        <w:rPr/>
        <w:t>г) сведения о функциональных характеристиках (потребительских свойствах) и качественных характеристиках товара, работ, услуг. В случаях, предусмотренных</w:t>
      </w:r>
      <w:r>
        <w:rPr>
          <w:color w:val="C00000"/>
        </w:rPr>
        <w:t xml:space="preserve"> </w:t>
      </w:r>
      <w:r>
        <w:rPr/>
        <w:t>извещением</w:t>
      </w:r>
      <w:r>
        <w:rPr>
          <w:color w:val="C00000"/>
        </w:rPr>
        <w:t xml:space="preserve"> </w:t>
      </w:r>
      <w:r>
        <w:rPr/>
        <w:t>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Pr>
          <w:color w:val="FF0000"/>
        </w:rPr>
        <w:t>;</w:t>
      </w:r>
    </w:p>
    <w:p>
      <w:pPr>
        <w:pStyle w:val="Normal"/>
        <w:ind w:firstLine="567"/>
        <w:jc w:val="both"/>
        <w:rPr/>
      </w:pPr>
      <w:r>
        <w:rPr/>
        <w:t>д) согласие участника закупки исполнить условия договора, указанные в извещении о проведении запроса котировок;</w:t>
      </w:r>
    </w:p>
    <w:p>
      <w:pPr>
        <w:pStyle w:val="Normal"/>
        <w:ind w:firstLine="567"/>
        <w:jc w:val="both"/>
        <w:rPr/>
      </w:pPr>
      <w:r>
        <w:rPr/>
        <w:t>е)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pPr>
        <w:pStyle w:val="Normal"/>
        <w:ind w:firstLine="567"/>
        <w:jc w:val="both"/>
        <w:rPr/>
      </w:pPr>
      <w:r>
        <w:rPr/>
        <w:t>ж) иные документы или копии документов, перечень которых определен извещением</w:t>
      </w:r>
      <w:r>
        <w:rPr>
          <w:color w:val="C00000"/>
        </w:rPr>
        <w:t xml:space="preserve"> </w:t>
      </w:r>
      <w:r>
        <w:rPr/>
        <w:t>о проведении запроса котировок, подтверждающие соответствие котировочной заявки требованиям, установленным в</w:t>
      </w:r>
      <w:r>
        <w:rPr>
          <w:color w:val="C00000"/>
        </w:rPr>
        <w:t xml:space="preserve"> </w:t>
      </w:r>
      <w:r>
        <w:rPr/>
        <w:t>извещении.</w:t>
      </w:r>
      <w:r>
        <w:rPr>
          <w:color w:val="C00000"/>
        </w:rPr>
        <w:t xml:space="preserve"> </w:t>
      </w:r>
    </w:p>
    <w:p>
      <w:pPr>
        <w:pStyle w:val="Normal"/>
        <w:ind w:firstLine="567"/>
        <w:jc w:val="both"/>
        <w:rPr/>
      </w:pPr>
      <w:r>
        <w:rPr/>
        <w:t>18.5.2.2. для группы (нескольких лиц) лиц, выступающих на стороне одного участника закупки:</w:t>
      </w:r>
    </w:p>
    <w:p>
      <w:pPr>
        <w:pStyle w:val="Normal"/>
        <w:ind w:firstLine="567"/>
        <w:jc w:val="both"/>
        <w:rPr/>
      </w:pPr>
      <w:r>
        <w:rPr/>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p>
      <w:pPr>
        <w:pStyle w:val="Normal"/>
        <w:ind w:firstLine="567"/>
        <w:jc w:val="both"/>
        <w:rPr/>
      </w:pPr>
      <w:r>
        <w:rPr/>
        <w:t>б) документы и сведения в соответствии с пунктом 18.5.2.1, настоящего Положения участника закупки, которому от имени группы лиц поручено подать котировочную заявку.</w:t>
      </w:r>
    </w:p>
    <w:p>
      <w:pPr>
        <w:pStyle w:val="Normal"/>
        <w:ind w:firstLine="567"/>
        <w:jc w:val="both"/>
        <w:rPr/>
      </w:pPr>
      <w:r>
        <w:rPr/>
        <w:t>18.5.3. Иные требования к котировочной заявке устанавливаются в</w:t>
      </w:r>
      <w:r>
        <w:rPr>
          <w:color w:val="C00000"/>
        </w:rPr>
        <w:t xml:space="preserve"> </w:t>
      </w:r>
      <w:r>
        <w:rPr/>
        <w:t>извещении</w:t>
      </w:r>
      <w:r>
        <w:rPr>
          <w:color w:val="C00000"/>
        </w:rPr>
        <w:t xml:space="preserve"> </w:t>
      </w:r>
      <w:r>
        <w:rPr/>
        <w:t>о проведении запроса котировок в зависимости от предмета закупки.</w:t>
      </w:r>
    </w:p>
    <w:p>
      <w:pPr>
        <w:pStyle w:val="Normal"/>
        <w:ind w:firstLine="567"/>
        <w:jc w:val="both"/>
        <w:rPr/>
      </w:pPr>
      <w:r>
        <w:rPr/>
      </w:r>
    </w:p>
    <w:p>
      <w:pPr>
        <w:pStyle w:val="Normal"/>
        <w:ind w:firstLine="567"/>
        <w:jc w:val="center"/>
        <w:rPr>
          <w:b/>
          <w:b/>
          <w:bCs/>
        </w:rPr>
      </w:pPr>
      <w:r>
        <w:rPr>
          <w:b/>
          <w:bCs/>
        </w:rPr>
        <w:t>18.6. Порядок приема котировочных заявок</w:t>
      </w:r>
    </w:p>
    <w:p>
      <w:pPr>
        <w:pStyle w:val="Normal"/>
        <w:ind w:firstLine="567"/>
        <w:jc w:val="center"/>
        <w:rPr>
          <w:b/>
          <w:b/>
          <w:bCs/>
        </w:rPr>
      </w:pPr>
      <w:r>
        <w:rPr>
          <w:b/>
          <w:bCs/>
        </w:rPr>
      </w:r>
      <w:bookmarkStart w:id="155" w:name="_Hlk533592321"/>
      <w:bookmarkStart w:id="156" w:name="_Hlk533592321"/>
      <w:bookmarkEnd w:id="156"/>
    </w:p>
    <w:p>
      <w:pPr>
        <w:pStyle w:val="Normal"/>
        <w:ind w:firstLine="567"/>
        <w:jc w:val="both"/>
        <w:rPr/>
      </w:pPr>
      <w:r>
        <w:rPr/>
        <w:t>18.6.1. Со дня размещения извещения о проведении запроса котировок, документации о проведении запроса котировок в единой информационной системе и до окончания срока подачи котировочных заявок, установленного в извещении о проведении запроса котировок, заказчик осуществляет прием котировочных заявок.</w:t>
      </w:r>
    </w:p>
    <w:p>
      <w:pPr>
        <w:pStyle w:val="Normal"/>
        <w:ind w:firstLine="567"/>
        <w:jc w:val="both"/>
        <w:rPr>
          <w:color w:val="C00000"/>
        </w:rPr>
      </w:pPr>
      <w:r>
        <w:rPr/>
        <w:t>18.6.2. Заявка на участие в запросе котировок, поданная в срок, указанный в извещении о проведении запроса котировок, регистрируется оператором электронной площадки.</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18.6.3. Прием заявок на участие в запросе котировок прекращается с наступлением срока открытия доступа к поданным в форме электронных документов заявкам на участие в запросе котировок.</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 xml:space="preserve">18.6.3.1.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18.6.4.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заявкам на участие в запросе котировок в электронной форме.</w:t>
      </w:r>
    </w:p>
    <w:p>
      <w:pPr>
        <w:pStyle w:val="Normal"/>
        <w:ind w:firstLine="567"/>
        <w:jc w:val="both"/>
        <w:rPr/>
      </w:pPr>
      <w:r>
        <w:rPr/>
        <w:t>18.6.5. Если по окончании срока подачи котировочных заявок, установленного извещением о проведении запроса котировок, будет получена только одна котировочная заявка или не будет получено ни одной заявки, запрос котировок будет признан несостоявшимся.</w:t>
      </w:r>
    </w:p>
    <w:p>
      <w:pPr>
        <w:pStyle w:val="Normal"/>
        <w:ind w:firstLine="567"/>
        <w:jc w:val="both"/>
        <w:rPr>
          <w:color w:val="C00000"/>
        </w:rPr>
      </w:pPr>
      <w:r>
        <w:rPr>
          <w:color w:val="C00000"/>
        </w:rPr>
      </w:r>
    </w:p>
    <w:p>
      <w:pPr>
        <w:pStyle w:val="Normal"/>
        <w:ind w:firstLine="567"/>
        <w:jc w:val="center"/>
        <w:rPr>
          <w:b/>
          <w:b/>
          <w:bCs/>
        </w:rPr>
      </w:pPr>
      <w:r>
        <w:rPr>
          <w:b/>
          <w:bCs/>
        </w:rPr>
        <w:t>18.7. Рассмотрение и оценка котировочных заявок</w:t>
      </w:r>
    </w:p>
    <w:p>
      <w:pPr>
        <w:pStyle w:val="Normal"/>
        <w:ind w:firstLine="567"/>
        <w:jc w:val="center"/>
        <w:rPr>
          <w:b/>
          <w:b/>
          <w:bCs/>
        </w:rPr>
      </w:pPr>
      <w:r>
        <w:rPr>
          <w:b/>
          <w:bCs/>
        </w:rPr>
      </w:r>
      <w:bookmarkStart w:id="157" w:name="_Hlk533592342"/>
      <w:bookmarkStart w:id="158" w:name="_Hlk533592342"/>
      <w:bookmarkEnd w:id="158"/>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18.7.1. В день, во время, указанные в извещении о проведении запроса котировок открывается доступ к поданным в форме электронных документов заявкам на участие в запросе котировок. Открытие доступа к поданным в форме электронных документов таким заявкам, а также рассмотрение и оценка таких заявок осуществляются в один день.</w:t>
      </w:r>
    </w:p>
    <w:p>
      <w:pPr>
        <w:pStyle w:val="Normal"/>
        <w:ind w:firstLine="567"/>
        <w:jc w:val="both"/>
        <w:rPr/>
      </w:pPr>
      <w:r>
        <w:rPr/>
        <w:t>18.7.2. Котировочная заявка будет отклонена от рассмотрения и оценки в следующих случаях:</w:t>
      </w:r>
    </w:p>
    <w:p>
      <w:pPr>
        <w:pStyle w:val="Normal"/>
        <w:ind w:firstLine="567"/>
        <w:jc w:val="both"/>
        <w:rPr/>
      </w:pPr>
      <w:r>
        <w:rPr/>
        <w:t>18.7.2.1. непредставления оригиналов и копий документов, а также иных сведений, требование о наличии которых установлено извещением</w:t>
      </w:r>
      <w:r>
        <w:rPr>
          <w:color w:val="C00000"/>
        </w:rPr>
        <w:t xml:space="preserve"> </w:t>
      </w:r>
      <w:r>
        <w:rPr/>
        <w:t>о проведении запроса котировок;</w:t>
      </w:r>
    </w:p>
    <w:p>
      <w:pPr>
        <w:pStyle w:val="Normal"/>
        <w:ind w:firstLine="567"/>
        <w:jc w:val="both"/>
        <w:rPr/>
      </w:pPr>
      <w:r>
        <w:rPr/>
        <w:t>18.7.2.2. несоответствия участника закупки требованиям к участникам закупки, установленным извещением о проведении запроса котировок;</w:t>
      </w:r>
    </w:p>
    <w:p>
      <w:pPr>
        <w:pStyle w:val="Normal"/>
        <w:ind w:firstLine="567"/>
        <w:jc w:val="both"/>
        <w:rPr/>
      </w:pPr>
      <w:r>
        <w:rPr/>
        <w:t>18.7.2.3. несоответствия котировочной заявки требованиям, установленным извещением о проведении запроса котировок;</w:t>
      </w:r>
    </w:p>
    <w:p>
      <w:pPr>
        <w:pStyle w:val="Normal"/>
        <w:ind w:firstLine="567"/>
        <w:jc w:val="both"/>
        <w:rPr/>
      </w:pPr>
      <w:r>
        <w:rPr/>
        <w:t>18.7.2.4. несоответствия предлагаемых товаров, работ, услуг требованиям извещения</w:t>
      </w:r>
      <w:r>
        <w:rPr>
          <w:color w:val="C00000"/>
        </w:rPr>
        <w:t xml:space="preserve"> </w:t>
      </w:r>
      <w:r>
        <w:rPr/>
        <w:t>о проведении запроса котировок;</w:t>
      </w:r>
    </w:p>
    <w:p>
      <w:pPr>
        <w:pStyle w:val="Normal"/>
        <w:ind w:firstLine="567"/>
        <w:jc w:val="both"/>
        <w:rPr/>
      </w:pPr>
      <w:r>
        <w:rPr/>
        <w:t>18.7.2.5. предоставления в составе котировочной заявки заведомо ложных сведений, намеренного искажения информации или документов, входящих в состав заявки.</w:t>
      </w:r>
    </w:p>
    <w:p>
      <w:pPr>
        <w:pStyle w:val="Normal"/>
        <w:ind w:firstLine="567"/>
        <w:jc w:val="both"/>
        <w:rPr/>
      </w:pPr>
      <w:r>
        <w:rPr/>
        <w:t>18.7.3. Отклонение заявки по иным основаниям, кроме предусмотренных пунктом 19.7.2 настоящего Положения случаев, не допускается.</w:t>
      </w:r>
    </w:p>
    <w:p>
      <w:pPr>
        <w:pStyle w:val="Normal"/>
        <w:ind w:firstLine="567"/>
        <w:jc w:val="both"/>
        <w:rPr/>
      </w:pPr>
      <w:r>
        <w:rPr/>
        <w:t>18.7.4. В случае, если при проведении рассмотрения и оценки котировочная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заключит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pPr>
        <w:pStyle w:val="Normal"/>
        <w:ind w:firstLine="567"/>
        <w:jc w:val="both"/>
        <w:rPr/>
      </w:pPr>
      <w:r>
        <w:rPr/>
        <w:t>18.7.4.1. В случае, если при проведении рассмотрения и оценки все котировочные заявки признаны несоответствующими</w:t>
      </w:r>
      <w:r>
        <w:rPr>
          <w:color w:val="C00000"/>
        </w:rPr>
        <w:t xml:space="preserve"> </w:t>
      </w:r>
      <w:r>
        <w:rPr/>
        <w:t>извещению</w:t>
      </w:r>
      <w:r>
        <w:rPr>
          <w:color w:val="C00000"/>
        </w:rPr>
        <w:t xml:space="preserve"> </w:t>
      </w:r>
      <w:r>
        <w:rPr/>
        <w:t>о проведении запроса котировок, или котировочная заявка только одного участника признана соответствующей требованиям извещения</w:t>
      </w:r>
      <w:r>
        <w:rPr>
          <w:color w:val="C00000"/>
        </w:rPr>
        <w:t xml:space="preserve"> </w:t>
      </w:r>
      <w:r>
        <w:rPr/>
        <w:t>о проведении запроса котировок, запрос котировок признается несостоявшимся. Информация об этом вносится в протокол о результатах закупки.</w:t>
      </w:r>
    </w:p>
    <w:p>
      <w:pPr>
        <w:pStyle w:val="Normal"/>
        <w:ind w:firstLine="567"/>
        <w:jc w:val="both"/>
        <w:rPr/>
      </w:pPr>
      <w:r>
        <w:rPr/>
        <w:t>18.7.5. Победителем в проведении запроса котировок признается участник закупки, соответствующий требованиям, установленным в</w:t>
      </w:r>
      <w:r>
        <w:rPr>
          <w:color w:val="C00000"/>
        </w:rPr>
        <w:t xml:space="preserve"> </w:t>
      </w:r>
      <w:r>
        <w:rPr/>
        <w:t>извещении</w:t>
      </w:r>
      <w:r>
        <w:rPr>
          <w:color w:val="C00000"/>
        </w:rPr>
        <w:t xml:space="preserve"> </w:t>
      </w:r>
      <w:r>
        <w:rPr/>
        <w:t>о проведении запроса котировок, подавший котировочную заявку, которая отвечает всем требованиям, установленным в таком</w:t>
      </w:r>
      <w:r>
        <w:rPr>
          <w:color w:val="C00000"/>
        </w:rPr>
        <w:t xml:space="preserve"> </w:t>
      </w:r>
      <w:r>
        <w:rPr/>
        <w:t>извещении</w:t>
      </w:r>
      <w:r>
        <w:rPr>
          <w:color w:val="C00000"/>
        </w:rPr>
        <w:t xml:space="preserve">, </w:t>
      </w:r>
      <w:r>
        <w:rPr/>
        <w:t>и в которой указана наиболее низкая цена товаров, работ, услуг.</w:t>
      </w:r>
    </w:p>
    <w:p>
      <w:pPr>
        <w:pStyle w:val="Normal"/>
        <w:ind w:firstLine="567"/>
        <w:jc w:val="both"/>
        <w:rPr/>
      </w:pPr>
      <w:r>
        <w:rPr/>
        <w:t>18.7.5.1. При предложении одинаковой наиболее низкой цены товаров, работ, услуг несколькими участниками закупки победителем в проведении запроса котировок признается участник, котировочная заявка которого поступила ранее котировочных заявок других участников.</w:t>
      </w:r>
    </w:p>
    <w:p>
      <w:pPr>
        <w:pStyle w:val="Normal"/>
        <w:ind w:firstLine="567"/>
        <w:jc w:val="both"/>
        <w:rPr/>
      </w:pPr>
      <w:r>
        <w:rPr/>
        <w:t>18.7.6. На основании результатов рассмотрения и оценки котировочных заявок комиссия по закупкам оформляет протокол о результатах запроса котировок. В нем указываются сведения в соответствии с пунктом 8.5.2 настоящего Положения о закупке, а также содержащий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цены договора в котировочных заявках, которые рассматривались и оценивались.</w:t>
      </w:r>
    </w:p>
    <w:p>
      <w:pPr>
        <w:pStyle w:val="Normal"/>
        <w:ind w:firstLine="567"/>
        <w:jc w:val="both"/>
        <w:rPr>
          <w:rFonts w:eastAsia="Calibri"/>
        </w:rPr>
      </w:pPr>
      <w:r>
        <w:rPr/>
        <w:t>Протокол подписывается членами комиссии по закупке, присутствовавшими на заседании, в течение</w:t>
      </w:r>
      <w:r>
        <w:rPr>
          <w:color w:val="C00000"/>
        </w:rPr>
        <w:t xml:space="preserve"> </w:t>
      </w:r>
      <w:r>
        <w:rPr/>
        <w:t>одного дня</w:t>
      </w:r>
      <w:r>
        <w:rPr>
          <w:color w:val="FF0000"/>
        </w:rPr>
        <w:t xml:space="preserve"> </w:t>
      </w:r>
      <w:r>
        <w:rPr/>
        <w:t>следующего за днем заседания комиссии.</w:t>
      </w:r>
      <w:r>
        <w:rPr>
          <w:rFonts w:eastAsia="Calibri"/>
        </w:rPr>
        <w:t xml:space="preserve"> </w:t>
      </w:r>
    </w:p>
    <w:p>
      <w:pPr>
        <w:pStyle w:val="Normal"/>
        <w:ind w:firstLine="567"/>
        <w:jc w:val="both"/>
        <w:rPr/>
      </w:pPr>
      <w:r>
        <w:rPr/>
        <w:t>18.7.7. Указанный протокол размещается заказчиком не позднее чем через 3 дня со дня подписания в единой информационной системе.</w:t>
      </w:r>
    </w:p>
    <w:p>
      <w:pPr>
        <w:pStyle w:val="ConsPlusNormal2"/>
        <w:widowControl/>
        <w:ind w:firstLine="567"/>
        <w:jc w:val="both"/>
        <w:rPr>
          <w:rFonts w:ascii="Times New Roman" w:hAnsi="Times New Roman" w:cs="Times New Roman"/>
          <w:sz w:val="24"/>
          <w:szCs w:val="24"/>
        </w:rPr>
      </w:pPr>
      <w:r>
        <w:rPr>
          <w:rFonts w:cs="Times New Roman" w:ascii="Times New Roman" w:hAnsi="Times New Roman"/>
          <w:sz w:val="24"/>
          <w:szCs w:val="24"/>
        </w:rPr>
        <w:t>18.7.8. Любой участник запроса котировок, подавший заявку на участие в запросе котировок, после размещения в Единой информационной системе протокола о результатах закупки вправе направить в форме электронного документа Заказчику запрос о даче разъяснений. В течение трех рабочих дней с даты поступления указанного запроса Заказчик, Специализированная организация обязаны представить в письменной форме или в форме электронного документа указанному участнику соответствующие разъяснения.</w:t>
      </w:r>
    </w:p>
    <w:p>
      <w:pPr>
        <w:pStyle w:val="Normal"/>
        <w:ind w:firstLine="567"/>
        <w:jc w:val="both"/>
        <w:rPr/>
      </w:pPr>
      <w:r>
        <w:rPr/>
        <w:t>18.7.9. В случае уклонения победителя в проведении запроса котировок от заключения договора, заказчик вправе заключить договор с участником,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w:t>
      </w:r>
    </w:p>
    <w:p>
      <w:pPr>
        <w:pStyle w:val="Normal"/>
        <w:ind w:firstLine="567"/>
        <w:jc w:val="both"/>
        <w:rPr/>
      </w:pPr>
      <w:r>
        <w:rPr/>
        <w:t>18.7.9.1. Договор с таким участником заключается на условиях проекта договора, прилагаемого к</w:t>
      </w:r>
      <w:r>
        <w:rPr>
          <w:color w:val="C00000"/>
        </w:rPr>
        <w:t xml:space="preserve"> </w:t>
      </w:r>
      <w:r>
        <w:rPr/>
        <w:t>извещению</w:t>
      </w:r>
      <w:r>
        <w:rPr>
          <w:color w:val="C00000"/>
        </w:rPr>
        <w:t xml:space="preserve"> </w:t>
      </w:r>
      <w:r>
        <w:rPr/>
        <w:t xml:space="preserve">о проведении запроса котировок, по цене, предложенной таким участником в котировочной заявке. </w:t>
      </w:r>
    </w:p>
    <w:p>
      <w:pPr>
        <w:pStyle w:val="Normal"/>
        <w:ind w:firstLine="567"/>
        <w:jc w:val="both"/>
        <w:rPr/>
      </w:pPr>
      <w:r>
        <w:rPr/>
        <w:t>18.7.9.2. В случае уклонения от заключения договора участника, предложившим в котировочной заявке такую же цену, как и победитель, или предложение о цене договора которого содержит лучшие условия, следующие после предложенных победителем, запрос котировок признается несостоявшимся.</w:t>
      </w:r>
    </w:p>
    <w:p>
      <w:pPr>
        <w:pStyle w:val="Normal"/>
        <w:ind w:firstLine="567"/>
        <w:jc w:val="both"/>
        <w:rPr>
          <w:color w:val="C00000"/>
        </w:rPr>
      </w:pPr>
      <w:r>
        <w:rPr>
          <w:color w:val="C00000"/>
        </w:rPr>
      </w:r>
    </w:p>
    <w:p>
      <w:pPr>
        <w:pStyle w:val="Normal"/>
        <w:ind w:firstLine="567"/>
        <w:jc w:val="center"/>
        <w:rPr>
          <w:b/>
          <w:b/>
          <w:bCs/>
        </w:rPr>
      </w:pPr>
      <w:r>
        <w:rPr>
          <w:b/>
          <w:bCs/>
        </w:rPr>
        <w:t>18.8. Последствия признания запроса котировок несостоявшимся</w:t>
      </w:r>
    </w:p>
    <w:p>
      <w:pPr>
        <w:pStyle w:val="Normal"/>
        <w:ind w:firstLine="567"/>
        <w:jc w:val="both"/>
        <w:rPr>
          <w:b/>
          <w:b/>
          <w:bCs/>
        </w:rPr>
      </w:pPr>
      <w:r>
        <w:rPr>
          <w:b/>
          <w:bCs/>
        </w:rPr>
      </w:r>
      <w:bookmarkStart w:id="159" w:name="_Hlk533592366"/>
      <w:bookmarkStart w:id="160" w:name="_Hlk533592366"/>
      <w:bookmarkEnd w:id="160"/>
    </w:p>
    <w:p>
      <w:pPr>
        <w:pStyle w:val="Normal"/>
        <w:ind w:firstLine="567"/>
        <w:jc w:val="both"/>
        <w:rPr/>
      </w:pPr>
      <w:r>
        <w:rPr/>
        <w:t xml:space="preserve">18.8.1. В случае,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заключает договор с единственным </w:t>
      </w:r>
      <w:bookmarkStart w:id="161" w:name="_Hlk485825499"/>
      <w:r>
        <w:rPr/>
        <w:t>поставщиком (исполнителем, подрядчиком)</w:t>
      </w:r>
      <w:bookmarkEnd w:id="161"/>
      <w:r>
        <w:rPr/>
        <w:t xml:space="preserve"> в соответствии с пунктом 6.3.6.2 настоящего Положения.</w:t>
      </w:r>
    </w:p>
    <w:p>
      <w:pPr>
        <w:pStyle w:val="Normal"/>
        <w:ind w:firstLine="567"/>
        <w:jc w:val="both"/>
        <w:rPr>
          <w:b/>
          <w:b/>
          <w:bCs/>
        </w:rPr>
      </w:pPr>
      <w:r>
        <w:rPr>
          <w:b/>
          <w:bCs/>
        </w:rPr>
      </w:r>
    </w:p>
    <w:p>
      <w:pPr>
        <w:pStyle w:val="Normal"/>
        <w:ind w:firstLine="567"/>
        <w:jc w:val="both"/>
        <w:rPr>
          <w:b/>
          <w:b/>
          <w:bCs/>
        </w:rPr>
      </w:pPr>
      <w:r>
        <w:rPr>
          <w:b/>
          <w:bCs/>
        </w:rPr>
        <w:t>19. ОСОБЕННОСТИ ПРОВЕДЕНИЯ ЗАКРЫТОГО ЗАПРОСА КОТИРОВОК</w:t>
      </w:r>
      <w:bookmarkStart w:id="162" w:name="_Hlk533592387"/>
      <w:bookmarkEnd w:id="162"/>
    </w:p>
    <w:p>
      <w:pPr>
        <w:pStyle w:val="Normal"/>
        <w:ind w:firstLine="567"/>
        <w:jc w:val="both"/>
        <w:rPr>
          <w:b/>
          <w:b/>
          <w:bCs/>
        </w:rPr>
      </w:pPr>
      <w:r>
        <w:rPr>
          <w:b/>
          <w:bCs/>
        </w:rPr>
      </w:r>
    </w:p>
    <w:p>
      <w:pPr>
        <w:pStyle w:val="Normal"/>
        <w:ind w:firstLine="567"/>
        <w:jc w:val="both"/>
        <w:rPr/>
      </w:pPr>
      <w:r>
        <w:rPr/>
        <w:t>19.1. Закрытый запрос котировок проводится с учетом положений настоящего пункта.</w:t>
      </w:r>
    </w:p>
    <w:p>
      <w:pPr>
        <w:pStyle w:val="Normal"/>
        <w:ind w:firstLine="567"/>
        <w:jc w:val="both"/>
        <w:rPr/>
      </w:pPr>
      <w:r>
        <w:rPr/>
        <w:t>19.2. При проведении закрытого запроса котировок извещение о проведении закрытого запроса котировок не требуется.</w:t>
      </w:r>
      <w:r>
        <w:rPr>
          <w:color w:val="C00000"/>
        </w:rPr>
        <w:t xml:space="preserve"> </w:t>
      </w:r>
      <w:r>
        <w:rPr/>
        <w:t>Заказчик в сроки, установленные для размещения извещения о закупке на официальном сайте, направляет приглашения принять участие в закрытом запросе котировок на бумажном носителе, которые удовлетворяют требованиям, предусмотренным настоящим Положением, в соответствии с сформированным перечнем лиц. В указанных приглашениях должны содержаться сведения, предусмотренные требованиями пунктов 8.3.1 и</w:t>
      </w:r>
      <w:r>
        <w:rPr>
          <w:color w:val="C00000"/>
        </w:rPr>
        <w:t xml:space="preserve"> </w:t>
      </w:r>
      <w:r>
        <w:rPr/>
        <w:t>18.2.2. настоящего Положения.</w:t>
      </w:r>
    </w:p>
    <w:p>
      <w:pPr>
        <w:pStyle w:val="Normal"/>
        <w:ind w:firstLine="567"/>
        <w:jc w:val="both"/>
        <w:rPr/>
      </w:pPr>
      <w:r>
        <w:rPr/>
        <w:t>19.3. Протоколы, формируемые по результатам заседания комиссии по закупке, не подлежат опубликованию в средствах массовой информации и размещению в единой информационной системе. Заказчик не позднее трех рабочих дней со дня подписания соответствующего протокола, направляет копии соответствующего протокола участникам, подавшим котировочные заявки.</w:t>
      </w:r>
    </w:p>
    <w:p>
      <w:pPr>
        <w:pStyle w:val="Normal"/>
        <w:ind w:firstLine="567"/>
        <w:jc w:val="both"/>
        <w:rPr>
          <w:color w:val="C00000"/>
        </w:rPr>
      </w:pPr>
      <w:r>
        <w:rPr>
          <w:color w:val="C00000"/>
        </w:rPr>
      </w:r>
    </w:p>
    <w:p>
      <w:pPr>
        <w:pStyle w:val="Normal"/>
        <w:ind w:firstLine="567"/>
        <w:jc w:val="center"/>
        <w:rPr>
          <w:b/>
          <w:b/>
          <w:bCs/>
        </w:rPr>
      </w:pPr>
      <w:r>
        <w:rPr>
          <w:b/>
          <w:bCs/>
        </w:rPr>
        <w:t>20. ОСОБЕННОСТИ ОСУЩЕСТВЛЕНИЯ КОНКУРЕНТНОЙ ЗАКУПКИ В ЭЛЕКТРОННОЙ ФОРМЕ</w:t>
      </w:r>
      <w:bookmarkStart w:id="163" w:name="_Hlk533592407"/>
      <w:bookmarkEnd w:id="163"/>
    </w:p>
    <w:p>
      <w:pPr>
        <w:pStyle w:val="Normal"/>
        <w:ind w:firstLine="567"/>
        <w:jc w:val="both"/>
        <w:rPr/>
      </w:pPr>
      <w:r>
        <w:rPr/>
      </w:r>
    </w:p>
    <w:p>
      <w:pPr>
        <w:pStyle w:val="ConsPlusNormal2"/>
        <w:spacing w:before="0" w:after="0"/>
        <w:ind w:firstLine="567"/>
        <w:contextualSpacing/>
        <w:jc w:val="both"/>
        <w:rPr>
          <w:rFonts w:ascii="Times New Roman" w:hAnsi="Times New Roman" w:cs="Times New Roman"/>
          <w:sz w:val="24"/>
          <w:szCs w:val="24"/>
        </w:rPr>
      </w:pPr>
      <w:r>
        <w:rPr>
          <w:rFonts w:eastAsia="Calibri" w:cs="Times New Roman" w:ascii="Times New Roman" w:hAnsi="Times New Roman"/>
          <w:bCs/>
          <w:sz w:val="24"/>
          <w:szCs w:val="24"/>
        </w:rPr>
        <w:t>20.1.</w:t>
      </w:r>
      <w:r>
        <w:rPr>
          <w:rFonts w:eastAsia="Calibri"/>
          <w:b/>
          <w:bCs/>
        </w:rPr>
        <w:t xml:space="preserve"> </w:t>
      </w:r>
      <w:r>
        <w:rPr>
          <w:rFonts w:cs="Times New Roman" w:ascii="Times New Roman" w:hAnsi="Times New Roman"/>
          <w:sz w:val="24"/>
          <w:szCs w:val="24"/>
        </w:rPr>
        <w:t>Заказчик вправе провести любую конкурентную процедуру закупки (конкурс, аукцион, запрос предложений, запрос котировок) в электронной форме.</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При проведении закупки в электронной форме Заказчик размещает информацию о закупке в ЕИС и на электронной площадке.</w:t>
      </w:r>
    </w:p>
    <w:p>
      <w:pPr>
        <w:pStyle w:val="Normal"/>
        <w:spacing w:before="0" w:after="0"/>
        <w:ind w:firstLine="567"/>
        <w:contextualSpacing/>
        <w:jc w:val="both"/>
        <w:rPr/>
      </w:pPr>
      <w:r>
        <w:rPr/>
        <w:t>В извещении о проведении процедуры закупки в электронной форме дополнительно указывается адрес электронной площадки в сети Интернет, на которой проводится процедура закупки.</w:t>
      </w:r>
    </w:p>
    <w:p>
      <w:pPr>
        <w:pStyle w:val="Normal"/>
        <w:ind w:firstLine="567"/>
        <w:jc w:val="both"/>
        <w:rPr/>
      </w:pPr>
      <w:r>
        <w:rPr/>
        <w:t>Общий п</w:t>
      </w:r>
      <w:r>
        <w:rPr>
          <w:rFonts w:eastAsia="Calibri"/>
        </w:rPr>
        <w:t xml:space="preserve">орядок проведения конкурентной закупки в электронной форме регулируется </w:t>
      </w:r>
      <w:hyperlink r:id="rId112">
        <w:r>
          <w:rPr>
            <w:rStyle w:val="ListLabel2"/>
            <w:rFonts w:eastAsia="Calibri"/>
          </w:rPr>
          <w:t>ст. 3.3</w:t>
        </w:r>
      </w:hyperlink>
      <w:r>
        <w:rPr>
          <w:rFonts w:eastAsia="Calibri"/>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При осуществлении конкурентной закупки в электронной форме оператор электронной площадки обеспечивает:</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размещение в ЕИС таких разъяснений;</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3) подачу </w:t>
      </w:r>
      <w:r>
        <w:rPr>
          <w:rFonts w:eastAsia="Calibri" w:cs="Times New Roman" w:ascii="Times New Roman" w:hAnsi="Times New Roman"/>
          <w:bCs/>
          <w:sz w:val="24"/>
          <w:szCs w:val="24"/>
        </w:rPr>
        <w:t>участниками конкурентной закупки</w:t>
      </w:r>
      <w:r>
        <w:rPr>
          <w:rFonts w:cs="Times New Roman" w:ascii="Times New Roman" w:hAnsi="Times New Roman"/>
          <w:sz w:val="24"/>
          <w:szCs w:val="24"/>
        </w:rPr>
        <w:t xml:space="preserve"> в электронной форме заявок на участие в конкурентной закупке в электронной форме, окончательных предложений;</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предоставление комиссии по закупкам доступа к указанным заявкам;</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pPr>
        <w:pStyle w:val="ConsPlusNormal2"/>
        <w:spacing w:before="0" w:after="0"/>
        <w:ind w:firstLine="567"/>
        <w:contextualSpacing/>
        <w:jc w:val="both"/>
        <w:rPr/>
      </w:pPr>
      <w:r>
        <w:rPr>
          <w:rFonts w:cs="Times New Roman" w:ascii="Times New Roman" w:hAnsi="Times New Roman"/>
          <w:sz w:val="24"/>
          <w:szCs w:val="24"/>
        </w:rPr>
        <w:t xml:space="preserve">6) формирование проектов протоколов, составляемых в </w:t>
      </w:r>
      <w:r>
        <w:rPr>
          <w:rFonts w:eastAsia="Calibri" w:cs="Times New Roman" w:ascii="Times New Roman" w:hAnsi="Times New Roman"/>
          <w:bCs/>
          <w:sz w:val="24"/>
          <w:szCs w:val="24"/>
        </w:rPr>
        <w:t>процессе осуществления конкурентных закупок</w:t>
      </w:r>
      <w:r>
        <w:rPr>
          <w:rFonts w:cs="Times New Roman" w:ascii="Times New Roman" w:hAnsi="Times New Roman"/>
          <w:sz w:val="24"/>
          <w:szCs w:val="24"/>
        </w:rPr>
        <w:t xml:space="preserve"> в соответствии с Федеральным </w:t>
      </w:r>
      <w:hyperlink r:id="rId113">
        <w:r>
          <w:rPr>
            <w:rStyle w:val="ListLabel9"/>
            <w:rFonts w:cs="Times New Roman" w:ascii="Times New Roman" w:hAnsi="Times New Roman"/>
            <w:sz w:val="24"/>
            <w:szCs w:val="24"/>
          </w:rPr>
          <w:t>Законом</w:t>
        </w:r>
      </w:hyperlink>
      <w:r>
        <w:rPr>
          <w:rFonts w:cs="Times New Roman" w:ascii="Times New Roman" w:hAnsi="Times New Roman"/>
          <w:sz w:val="24"/>
          <w:szCs w:val="24"/>
        </w:rPr>
        <w:t xml:space="preserve"> N 223-ФЗ.</w:t>
      </w:r>
    </w:p>
    <w:p>
      <w:pPr>
        <w:pStyle w:val="Normal"/>
        <w:spacing w:before="0" w:after="0"/>
        <w:ind w:firstLine="567"/>
        <w:contextualSpacing/>
        <w:jc w:val="both"/>
        <w:rPr>
          <w:rFonts w:eastAsia="Calibri"/>
          <w:bCs/>
        </w:rPr>
      </w:pPr>
      <w:r>
        <w:rPr>
          <w:rFonts w:eastAsia="Calibri"/>
          <w:bCs/>
        </w:rPr>
        <w:t>20.2.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 223-ФЗ.</w:t>
      </w:r>
    </w:p>
    <w:p>
      <w:pPr>
        <w:pStyle w:val="Normal"/>
        <w:spacing w:before="0" w:after="0"/>
        <w:ind w:firstLine="567"/>
        <w:contextualSpacing/>
        <w:jc w:val="both"/>
        <w:rPr>
          <w:rFonts w:eastAsia="Calibri"/>
          <w:bCs/>
        </w:rPr>
      </w:pPr>
      <w:r>
        <w:rPr>
          <w:rFonts w:eastAsia="Calibri"/>
          <w:bCs/>
        </w:rPr>
        <w:t>20.3.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pPr>
        <w:pStyle w:val="Normal"/>
        <w:spacing w:before="0" w:after="0"/>
        <w:ind w:firstLine="567"/>
        <w:contextualSpacing/>
        <w:jc w:val="both"/>
        <w:rPr>
          <w:rFonts w:eastAsia="Calibri"/>
          <w:bCs/>
        </w:rPr>
      </w:pPr>
      <w:r>
        <w:rPr>
          <w:rFonts w:eastAsia="Calibri"/>
          <w:bCs/>
        </w:rPr>
        <w:t>20.4.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pPr>
        <w:pStyle w:val="Normal"/>
        <w:spacing w:before="0" w:after="0"/>
        <w:ind w:firstLine="567"/>
        <w:contextualSpacing/>
        <w:jc w:val="both"/>
        <w:rPr>
          <w:rFonts w:eastAsia="Calibri"/>
          <w:bCs/>
        </w:rPr>
      </w:pPr>
      <w:r>
        <w:rPr>
          <w:rFonts w:eastAsia="Calibri"/>
          <w:bCs/>
        </w:rPr>
        <w:t>20.5.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pPr>
        <w:pStyle w:val="Normal"/>
        <w:spacing w:before="0" w:after="0"/>
        <w:ind w:firstLine="567"/>
        <w:contextualSpacing/>
        <w:jc w:val="both"/>
        <w:rPr/>
      </w:pPr>
      <w:r>
        <w:rPr>
          <w:rFonts w:eastAsia="Calibri"/>
          <w:bCs/>
        </w:rPr>
        <w:t>20.6.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pPr>
        <w:pStyle w:val="Normal"/>
        <w:ind w:firstLine="567"/>
        <w:jc w:val="both"/>
        <w:rPr/>
      </w:pPr>
      <w:r>
        <w:rPr/>
      </w:r>
    </w:p>
    <w:p>
      <w:pPr>
        <w:pStyle w:val="Normal"/>
        <w:ind w:firstLine="567"/>
        <w:jc w:val="center"/>
        <w:rPr>
          <w:b/>
          <w:b/>
          <w:caps/>
        </w:rPr>
      </w:pPr>
      <w:r>
        <w:rPr>
          <w:b/>
          <w:bCs/>
        </w:rPr>
        <w:t xml:space="preserve">21. ПОРЯДОК ПОДГОТОВКИ И ОСУЩЕСТВЛЕНИЯ ЗАКУПКИ У ЕДИНСТВЕННОГО </w:t>
      </w:r>
      <w:r>
        <w:rPr>
          <w:b/>
          <w:caps/>
        </w:rPr>
        <w:t>поставщика (исполнителя, подрядчика)</w:t>
      </w:r>
    </w:p>
    <w:p>
      <w:pPr>
        <w:pStyle w:val="Normal"/>
        <w:ind w:firstLine="567"/>
        <w:jc w:val="both"/>
        <w:rPr>
          <w:rFonts w:eastAsia="Calibri"/>
          <w:b/>
          <w:b/>
          <w:bCs/>
        </w:rPr>
      </w:pPr>
      <w:r>
        <w:rPr>
          <w:rFonts w:eastAsia="Calibri"/>
          <w:b/>
          <w:bCs/>
        </w:rPr>
      </w:r>
      <w:bookmarkStart w:id="164" w:name="_Hlk533592424"/>
      <w:bookmarkStart w:id="165" w:name="_Hlk533592424"/>
      <w:bookmarkEnd w:id="165"/>
    </w:p>
    <w:p>
      <w:pPr>
        <w:pStyle w:val="Normal"/>
        <w:ind w:firstLine="567"/>
        <w:jc w:val="center"/>
        <w:rPr>
          <w:b/>
          <w:b/>
          <w:bCs/>
        </w:rPr>
      </w:pPr>
      <w:r>
        <w:rPr>
          <w:b/>
          <w:bCs/>
        </w:rPr>
      </w:r>
    </w:p>
    <w:p>
      <w:pPr>
        <w:pStyle w:val="Normal"/>
        <w:ind w:firstLine="567"/>
        <w:jc w:val="both"/>
        <w:rPr>
          <w:highlight w:val="white"/>
        </w:rPr>
      </w:pPr>
      <w:r>
        <w:rPr/>
        <w:t xml:space="preserve">21.1. </w:t>
      </w:r>
      <w:r>
        <w:rPr>
          <w:shd w:fill="FFFFFF" w:val="clear"/>
        </w:rPr>
        <w:t>Закупка у единственного поставщика (исполнителя, подрядчика) – это способ закупки, при котором предложение о заключении договора направляется конкретному поставщику, либо принимается предложение о заключении договора от одного поставщика без рассмотрения иных предложений.</w:t>
      </w:r>
    </w:p>
    <w:p>
      <w:pPr>
        <w:pStyle w:val="Normal"/>
        <w:spacing w:before="0" w:after="0"/>
        <w:ind w:firstLine="567"/>
        <w:contextualSpacing/>
        <w:jc w:val="both"/>
        <w:rPr>
          <w:rFonts w:eastAsia="Calibri"/>
          <w:bCs/>
        </w:rPr>
      </w:pPr>
      <w:r>
        <w:rPr>
          <w:rFonts w:eastAsia="Calibri"/>
          <w:bCs/>
        </w:rPr>
        <w:t xml:space="preserve">Исчерпывающий перечень случаев проведения закупки </w:t>
      </w:r>
      <w:r>
        <w:rPr/>
        <w:t xml:space="preserve">единственного поставщика (исполнителя, подрядчика) </w:t>
      </w:r>
      <w:r>
        <w:rPr>
          <w:rFonts w:eastAsia="Calibri"/>
          <w:bCs/>
        </w:rPr>
        <w:t>устанавливается пунктом 6.3.6 настоящего Положения о закупке.</w:t>
      </w:r>
    </w:p>
    <w:p>
      <w:pPr>
        <w:pStyle w:val="ConsPlusNormal2"/>
        <w:spacing w:before="0" w:after="0"/>
        <w:ind w:firstLine="567"/>
        <w:contextualSpacing/>
        <w:jc w:val="both"/>
        <w:rPr/>
      </w:pPr>
      <w:r>
        <w:rPr>
          <w:rFonts w:cs="Times New Roman" w:ascii="Times New Roman" w:hAnsi="Times New Roman"/>
          <w:sz w:val="24"/>
          <w:szCs w:val="24"/>
        </w:rPr>
        <w:t xml:space="preserve">21.2. Обоснование потребности в закупке у единственного поставщика (исполнителя, подрядчика), за исключением закупки не превышающей 100 тыс.рублей по одной закупке, разрабатывается инициатором или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(исполнителя, подрядчика), а также экономическое обоснование цены договора, подготовленное в соответствии с </w:t>
      </w:r>
      <w:hyperlink w:anchor="P405">
        <w:r>
          <w:rPr>
            <w:rStyle w:val="ListLabel9"/>
            <w:rFonts w:cs="Times New Roman" w:ascii="Times New Roman" w:hAnsi="Times New Roman"/>
            <w:sz w:val="24"/>
            <w:szCs w:val="24"/>
          </w:rPr>
          <w:t>разделом</w:t>
        </w:r>
      </w:hyperlink>
      <w:r>
        <w:rPr>
          <w:rFonts w:cs="Times New Roman" w:ascii="Times New Roman" w:hAnsi="Times New Roman"/>
          <w:sz w:val="24"/>
          <w:szCs w:val="24"/>
        </w:rPr>
        <w:t xml:space="preserve"> 7 настоящего Положения.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21.3. Решение о цене товаров, работ, услуг, закупаемых у единственного поставщика (исполнителя, подрядчика),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 (исполнителя, подрядчика).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21.4. Для проведения закупки у единственного поставщика (исполнителя, подрядчика) собирается комиссия по закупкам.</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Протокол проведения закупки у единственного поставщика (исполнителя, подрядчика) оформляется секретарем комиссии и подписывается всеми присутствующими членами комиссии по закупкам. </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протоколе проведения закупки у единственного поставщика указываются: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 место, дата составления протокола;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фамилии, имена, отчества, должности членов комиссии по закупкам;</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 способ закупки (закупка у единственного поставщика (исполнителя, подрядчика));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предмет договора;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 цена договора у единственного поставщика (исполнителя, подрядчика);</w:t>
      </w:r>
    </w:p>
    <w:p>
      <w:pPr>
        <w:pStyle w:val="ConsPlusNormal2"/>
        <w:spacing w:before="0" w:after="0"/>
        <w:ind w:firstLine="567"/>
        <w:contextualSpacing/>
        <w:jc w:val="both"/>
        <w:rPr/>
      </w:pPr>
      <w:r>
        <w:rPr>
          <w:rFonts w:cs="Times New Roman" w:ascii="Times New Roman" w:hAnsi="Times New Roman"/>
          <w:sz w:val="24"/>
          <w:szCs w:val="24"/>
        </w:rPr>
        <w:t xml:space="preserve">6) решение о заключении договора с единственным поставщиком (исполнителем, подрядчиком) и обоснование такого решения с указанием соответствующего подпункта </w:t>
      </w:r>
      <w:hyperlink w:anchor="P1034">
        <w:r>
          <w:rPr>
            <w:rStyle w:val="ListLabel9"/>
            <w:rFonts w:cs="Times New Roman" w:ascii="Times New Roman" w:hAnsi="Times New Roman"/>
            <w:sz w:val="24"/>
            <w:szCs w:val="24"/>
          </w:rPr>
          <w:t xml:space="preserve">п. </w:t>
        </w:r>
      </w:hyperlink>
      <w:r>
        <w:rPr>
          <w:rFonts w:cs="Times New Roman" w:ascii="Times New Roman" w:hAnsi="Times New Roman"/>
          <w:sz w:val="24"/>
          <w:szCs w:val="24"/>
        </w:rPr>
        <w:t>6.3.6 настоящего Положения;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7) наименование, адрес места нахождения единственного поставщика (исполнителя, подрядчика), ИНН/КПП/ОГРН юридического лица, фамилия, имя, отчество физического лица, ИНН/ОГРНИП (при наличии).</w:t>
      </w:r>
    </w:p>
    <w:p>
      <w:pPr>
        <w:pStyle w:val="Normal"/>
        <w:spacing w:before="0" w:after="0"/>
        <w:ind w:firstLine="567"/>
        <w:contextualSpacing/>
        <w:jc w:val="both"/>
        <w:rPr/>
      </w:pPr>
      <w:r>
        <w:rPr/>
        <w:t>21.5. Информация о закупке у единственного поставщика (исполнителя, подрядчика) не размещается Заказчиком в единой информационной системе.</w:t>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t>22. ПУБЛИЧНАЯ НЕКОНКУРЕНТНАЯ ЗАКУПКА</w:t>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t>22.1. Общий порядок публичной неконкурентной закупки</w:t>
      </w:r>
      <w:bookmarkStart w:id="166" w:name="_Hlk533592452"/>
      <w:bookmarkEnd w:id="166"/>
    </w:p>
    <w:p>
      <w:pPr>
        <w:pStyle w:val="Normal"/>
        <w:ind w:firstLine="567"/>
        <w:jc w:val="both"/>
        <w:rPr/>
      </w:pPr>
      <w:r>
        <w:rPr/>
      </w:r>
    </w:p>
    <w:p>
      <w:pPr>
        <w:pStyle w:val="Normal"/>
        <w:ind w:firstLine="567"/>
        <w:jc w:val="both"/>
        <w:rPr>
          <w:highlight w:val="white"/>
        </w:rPr>
      </w:pPr>
      <w:r>
        <w:rPr/>
        <w:t xml:space="preserve">22.1.1. Публичная неконкурентная закупка – это способ закупки, </w:t>
      </w:r>
      <w:r>
        <w:rPr>
          <w:shd w:fill="FFFFFF" w:val="clear"/>
        </w:rPr>
        <w:t>при котором предложение о заключении договоров направляются нескольким поставщикам, либо принимается предложение о заключении договора от поставщиков на поставку товаров, необходимых для осуществления коммерческой деятельности с учетом спроса и цены на текущую дату.</w:t>
      </w:r>
    </w:p>
    <w:p>
      <w:pPr>
        <w:pStyle w:val="Normal"/>
        <w:spacing w:before="0" w:after="0"/>
        <w:ind w:firstLine="567"/>
        <w:contextualSpacing/>
        <w:jc w:val="both"/>
        <w:rPr>
          <w:highlight w:val="white"/>
        </w:rPr>
      </w:pPr>
      <w:r>
        <w:rPr>
          <w:rFonts w:eastAsia="Calibri"/>
          <w:bCs/>
        </w:rPr>
        <w:t xml:space="preserve">Исчерпывающий перечень случаев проведения </w:t>
      </w:r>
      <w:r>
        <w:rPr/>
        <w:t xml:space="preserve">публичной неконкурентной закупки (исполнителя, подрядчика) </w:t>
      </w:r>
      <w:r>
        <w:rPr>
          <w:rFonts w:eastAsia="Calibri"/>
          <w:bCs/>
        </w:rPr>
        <w:t>устанавливается пунктом 6.3.7 настоящего Положения о закупке.</w:t>
      </w:r>
    </w:p>
    <w:p>
      <w:pPr>
        <w:pStyle w:val="Normal"/>
        <w:shd w:val="clear" w:color="auto" w:fill="FFFFFF"/>
        <w:ind w:firstLine="567"/>
        <w:jc w:val="both"/>
        <w:rPr>
          <w:color w:val="000000"/>
        </w:rPr>
      </w:pPr>
      <w:r>
        <w:rPr>
          <w:color w:val="000000"/>
        </w:rPr>
        <w:t>При этом предметом закупки является стандартная продукция, однозначно могут быть определены все условия поставки и для выбора наиболее предпочтительной заявки достаточно запросить только цену продукции (выбор осуществляется по единственному критерию — минимальной предложенной цене при соответствии техническим и иным требованиям). Возможно заключение рамочного договора.</w:t>
      </w:r>
    </w:p>
    <w:p>
      <w:pPr>
        <w:pStyle w:val="Normal"/>
        <w:shd w:val="clear" w:color="auto" w:fill="FFFFFF"/>
        <w:ind w:firstLine="567"/>
        <w:jc w:val="both"/>
        <w:rPr>
          <w:color w:val="000000"/>
        </w:rPr>
      </w:pPr>
      <w:r>
        <w:rPr>
          <w:color w:val="000000"/>
        </w:rPr>
        <w:t>Допускается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w:t>
      </w:r>
    </w:p>
    <w:p>
      <w:pPr>
        <w:pStyle w:val="ConsPlusNormal2"/>
        <w:spacing w:before="0" w:after="0"/>
        <w:ind w:firstLine="567"/>
        <w:contextualSpacing/>
        <w:jc w:val="both"/>
        <w:rPr>
          <w:rFonts w:ascii="Times New Roman" w:hAnsi="Times New Roman" w:cs="Times New Roman"/>
          <w:b/>
          <w:b/>
          <w:sz w:val="24"/>
          <w:szCs w:val="24"/>
        </w:rPr>
      </w:pPr>
      <w:r>
        <w:rPr>
          <w:rFonts w:cs="Times New Roman" w:ascii="Times New Roman" w:hAnsi="Times New Roman"/>
          <w:sz w:val="24"/>
          <w:szCs w:val="24"/>
          <w:shd w:fill="FFFFFF" w:val="clear"/>
        </w:rPr>
        <w:t xml:space="preserve">22.1.2. </w:t>
      </w:r>
      <w:r>
        <w:rPr>
          <w:rFonts w:cs="Times New Roman" w:ascii="Times New Roman" w:hAnsi="Times New Roman"/>
          <w:sz w:val="24"/>
          <w:szCs w:val="24"/>
        </w:rPr>
        <w:t>Обоснование потребности в проведении публичной неконкурентной закупки разрабатывается инициатором или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о причинах необходимости приобрести его у конкретного поставщика, а также экономическое обоснование цены договора.</w:t>
      </w:r>
    </w:p>
    <w:p>
      <w:pPr>
        <w:pStyle w:val="Normal"/>
        <w:ind w:firstLine="567"/>
        <w:jc w:val="both"/>
        <w:rPr/>
      </w:pPr>
      <w:r>
        <w:rPr/>
        <w:t>22.1.3. В целях проведения публичной неконкурентной закупки необходимо:</w:t>
      </w:r>
    </w:p>
    <w:p>
      <w:pPr>
        <w:pStyle w:val="Normal"/>
        <w:ind w:firstLine="567"/>
        <w:jc w:val="both"/>
        <w:rPr/>
      </w:pPr>
      <w:r>
        <w:rPr/>
        <w:t>22.1.3.1. разработать и разместить в единой информационной системе извещение о публичной неконкурентной закупке, документацию о публичной неконкурентной закупке, проект договора (или копию) в течение 10 рабочих дней после принятия решения о заключении договора;</w:t>
      </w:r>
    </w:p>
    <w:p>
      <w:pPr>
        <w:pStyle w:val="Normal"/>
        <w:ind w:firstLine="567"/>
        <w:jc w:val="both"/>
        <w:rPr/>
      </w:pPr>
      <w:r>
        <w:rPr/>
        <w:t>22.1.3.2. заключить договор с конкретным поставщиком, исполнителем, подрядчиком.</w:t>
      </w:r>
    </w:p>
    <w:p>
      <w:pPr>
        <w:pStyle w:val="Normal"/>
        <w:ind w:firstLine="567"/>
        <w:jc w:val="both"/>
        <w:rPr>
          <w:color w:val="FF0000"/>
        </w:rPr>
      </w:pPr>
      <w:r>
        <w:rPr/>
        <w:t>Проведение публичной неконкурентной закупки возможно только после включения данной закупки в план закупки и план закупки инновационной и высокотехнологичной продукции и лекарственных средств (при необходимости).</w:t>
      </w:r>
    </w:p>
    <w:p>
      <w:pPr>
        <w:pStyle w:val="14"/>
        <w:spacing w:lineRule="auto" w:line="240" w:before="0" w:after="0"/>
        <w:ind w:left="0" w:firstLine="567"/>
        <w:jc w:val="center"/>
        <w:rPr/>
      </w:pPr>
      <w:r>
        <w:rPr/>
      </w:r>
      <w:bookmarkStart w:id="167" w:name="_Hlk533592470"/>
      <w:bookmarkStart w:id="168" w:name="_Hlk533592470"/>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t xml:space="preserve">22.2. Извещение и документация о </w:t>
      </w:r>
      <w:bookmarkStart w:id="169" w:name="_Hlk533603674"/>
      <w:r>
        <w:rPr>
          <w:rFonts w:cs="Times New Roman" w:ascii="Times New Roman" w:hAnsi="Times New Roman"/>
          <w:b/>
          <w:sz w:val="24"/>
          <w:szCs w:val="24"/>
        </w:rPr>
        <w:t>публичной неконкурентной закупке</w:t>
      </w:r>
      <w:bookmarkEnd w:id="168"/>
      <w:bookmarkEnd w:id="169"/>
    </w:p>
    <w:p>
      <w:pPr>
        <w:pStyle w:val="Normal"/>
        <w:ind w:firstLine="567"/>
        <w:jc w:val="center"/>
        <w:rPr>
          <w:b/>
          <w:b/>
        </w:rPr>
      </w:pPr>
      <w:r>
        <w:rPr>
          <w:b/>
        </w:rPr>
      </w:r>
    </w:p>
    <w:p>
      <w:pPr>
        <w:pStyle w:val="Normal"/>
        <w:ind w:firstLine="567"/>
        <w:jc w:val="both"/>
        <w:rPr/>
      </w:pPr>
      <w:r>
        <w:rPr/>
        <w:t>22.2.1. Извещение о публичной неконкурентной закупке и документация о публичной неконкурентной закупке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 Извещение и документация о проведении публичной неконкурентной закупки не являются ни офертой, ни акцептом.</w:t>
      </w:r>
    </w:p>
    <w:p>
      <w:pPr>
        <w:pStyle w:val="Normal"/>
        <w:ind w:firstLine="567"/>
        <w:jc w:val="both"/>
        <w:rPr/>
      </w:pPr>
      <w:r>
        <w:rPr/>
        <w:t xml:space="preserve">22.2.2. Извещение </w:t>
      </w:r>
      <w:bookmarkStart w:id="170" w:name="_Hlk121821023"/>
      <w:r>
        <w:rPr/>
        <w:t>о публичной неконкурентной закупке</w:t>
      </w:r>
      <w:bookmarkEnd w:id="170"/>
      <w:r>
        <w:rPr/>
        <w:t xml:space="preserve"> составляется по форме, приведенной в Приложении N 1 к настоящему Положению.</w:t>
      </w:r>
    </w:p>
    <w:p>
      <w:pPr>
        <w:pStyle w:val="Normal"/>
        <w:ind w:firstLine="567"/>
        <w:jc w:val="both"/>
        <w:rPr/>
      </w:pPr>
      <w:r>
        <w:rPr/>
        <w:t>22.2.3. Документация о публичной неконкурентной закупке составляется по форме, приведенной в Приложении N 2 к настоящему Положению.</w:t>
      </w:r>
    </w:p>
    <w:p>
      <w:pPr>
        <w:pStyle w:val="Normal"/>
        <w:ind w:firstLine="567"/>
        <w:jc w:val="both"/>
        <w:rPr/>
      </w:pPr>
      <w:r>
        <w:rPr/>
        <w:t>22.2.4. К извещению и документации о публичной неконкурентной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без указания (с указанием по усмотрению заказчика) контрагента по такому договору и сведений о таком контрагенте. Договор должен быть заключен не позднее двадцати календарных дней после размещения извещения документации в единой информационной системе.</w:t>
      </w:r>
    </w:p>
    <w:p>
      <w:pPr>
        <w:pStyle w:val="Normal"/>
        <w:ind w:firstLine="567"/>
        <w:jc w:val="both"/>
        <w:rPr/>
      </w:pPr>
      <w:r>
        <w:rPr/>
        <w:t>В случае, если документация о проведении публичной неконкурентной закупки размещается в единой информационной системе после подписания (пролонгации) договора, к документации о проведении публичной неконкурентной закупки должна быть приложена копия заключенного договора.</w:t>
      </w:r>
    </w:p>
    <w:p>
      <w:pPr>
        <w:pStyle w:val="Normal"/>
        <w:ind w:firstLine="567"/>
        <w:jc w:val="both"/>
        <w:rPr/>
      </w:pPr>
      <w:r>
        <w:rPr/>
        <w:t xml:space="preserve">22.2.5. Извещение и документация о проведении публичной неконкурентной закупки могут быть размещены в единой информационной системе как до подписания (пролонгации) договора, так и после подписания (пролонгации) договора с поставщиком </w:t>
      </w:r>
      <w:bookmarkStart w:id="171" w:name="_Hlk533586247"/>
      <w:r>
        <w:rPr/>
        <w:t>(исполнителем, подрядчиком).</w:t>
      </w:r>
      <w:bookmarkEnd w:id="171"/>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22.2.6. Для проведения публичной неконкурентной закупки собирается комиссия по закупкам.</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Протокол проведения публичной неконкурентной закупки</w:t>
      </w:r>
      <w:r>
        <w:rPr/>
        <w:t xml:space="preserve"> </w:t>
      </w:r>
      <w:r>
        <w:rPr>
          <w:rFonts w:cs="Times New Roman" w:ascii="Times New Roman" w:hAnsi="Times New Roman"/>
          <w:sz w:val="24"/>
          <w:szCs w:val="24"/>
        </w:rPr>
        <w:t xml:space="preserve">оформляется секретарем комиссии и подписывается всеми присутствующими членами комиссии по закупкам. </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протоколе проведения публичной неконкурентной закупки</w:t>
      </w:r>
      <w:r>
        <w:rPr/>
        <w:t xml:space="preserve"> </w:t>
      </w:r>
      <w:r>
        <w:rPr>
          <w:rFonts w:cs="Times New Roman" w:ascii="Times New Roman" w:hAnsi="Times New Roman"/>
          <w:sz w:val="24"/>
          <w:szCs w:val="24"/>
        </w:rPr>
        <w:t>указываются: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 место, дата составления протокола;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фамилии, имена, отчества, должности членов комиссии по закупкам;</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 способ закупки (публичная неконкурентная закупка);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предмет договора;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 цена договора;</w:t>
      </w:r>
    </w:p>
    <w:p>
      <w:pPr>
        <w:pStyle w:val="ConsPlusNormal2"/>
        <w:spacing w:before="0" w:after="0"/>
        <w:ind w:firstLine="567"/>
        <w:contextualSpacing/>
        <w:jc w:val="both"/>
        <w:rPr/>
      </w:pPr>
      <w:r>
        <w:rPr>
          <w:rFonts w:cs="Times New Roman" w:ascii="Times New Roman" w:hAnsi="Times New Roman"/>
          <w:sz w:val="24"/>
          <w:szCs w:val="24"/>
        </w:rPr>
        <w:t xml:space="preserve">6) решение о заключении договора с конкретным поставщиком (исполнителем, подрядчиком) и обоснование такого решения с указанием соответствующего подпункта </w:t>
      </w:r>
      <w:hyperlink w:anchor="P1034">
        <w:r>
          <w:rPr>
            <w:rStyle w:val="ListLabel9"/>
            <w:rFonts w:cs="Times New Roman" w:ascii="Times New Roman" w:hAnsi="Times New Roman"/>
            <w:sz w:val="24"/>
            <w:szCs w:val="24"/>
          </w:rPr>
          <w:t xml:space="preserve">п. </w:t>
        </w:r>
      </w:hyperlink>
      <w:r>
        <w:rPr>
          <w:rFonts w:cs="Times New Roman" w:ascii="Times New Roman" w:hAnsi="Times New Roman"/>
          <w:sz w:val="24"/>
          <w:szCs w:val="24"/>
        </w:rPr>
        <w:t>6.3.7 настоящего Положения;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7) наименование, адрес места нахождения конкретного поставщика (исполнителя, подрядчика), ИНН/КПП/ОГРН юридического лица, фамилия, имя, отчество физического лица, ИНН/ОГРНИП (при наличии).</w:t>
      </w:r>
    </w:p>
    <w:p>
      <w:pPr>
        <w:pStyle w:val="Normal"/>
        <w:ind w:firstLine="567"/>
        <w:jc w:val="both"/>
        <w:rPr/>
      </w:pPr>
      <w:r>
        <w:rPr/>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t>23. ПРЯМАЯ БЕЗАЛЬТЕРНАТИВНАЯ ЗАКУПКА</w:t>
      </w:r>
      <w:bookmarkStart w:id="172" w:name="_Hlk533592511"/>
      <w:bookmarkEnd w:id="172"/>
    </w:p>
    <w:p>
      <w:pPr>
        <w:pStyle w:val="Normal"/>
        <w:ind w:firstLine="567"/>
        <w:jc w:val="both"/>
        <w:rPr>
          <w:color w:val="FF0000"/>
        </w:rPr>
      </w:pPr>
      <w:r>
        <w:rPr>
          <w:color w:val="FF0000"/>
        </w:rPr>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t>23.1. Общий порядок прямой безальтернативной закупки</w:t>
      </w:r>
    </w:p>
    <w:p>
      <w:pPr>
        <w:pStyle w:val="Normal"/>
        <w:ind w:firstLine="567"/>
        <w:jc w:val="both"/>
        <w:rPr>
          <w:color w:val="FF0000"/>
        </w:rPr>
      </w:pPr>
      <w:r>
        <w:rPr>
          <w:color w:val="FF0000"/>
        </w:rPr>
      </w:r>
    </w:p>
    <w:p>
      <w:pPr>
        <w:pStyle w:val="Normal"/>
        <w:ind w:firstLine="567"/>
        <w:jc w:val="both"/>
        <w:rPr/>
      </w:pPr>
      <w:r>
        <w:rPr/>
        <w:t>23.1.1. Прямая безальтернативная закупка – это способ закупки, при котором Заказчик принимает условия, предложенные поставщиком (исполнителем, подрядчиком).</w:t>
      </w:r>
    </w:p>
    <w:p>
      <w:pPr>
        <w:pStyle w:val="Normal"/>
        <w:ind w:firstLine="567"/>
        <w:jc w:val="both"/>
        <w:rPr/>
      </w:pPr>
      <w:r>
        <w:rPr/>
        <w:t>23.1.2. В целях проведения прямой безальтернативной закупки необходимо:</w:t>
      </w:r>
    </w:p>
    <w:p>
      <w:pPr>
        <w:pStyle w:val="Normal"/>
        <w:ind w:firstLine="567"/>
        <w:jc w:val="both"/>
        <w:rPr/>
      </w:pPr>
      <w:r>
        <w:rPr/>
        <w:t>23.1.2.1. разработать и разместить в единой информационной системе извещение о проведения прямой безальтернативной закупки, документацию о проведении прямой безальтернативной закупки, проект договора (или копию) в течение 10 рабочих дней после принятия решения о заключении договора;</w:t>
      </w:r>
    </w:p>
    <w:p>
      <w:pPr>
        <w:pStyle w:val="Normal"/>
        <w:ind w:firstLine="567"/>
        <w:jc w:val="both"/>
        <w:rPr/>
      </w:pPr>
      <w:r>
        <w:rPr/>
        <w:t>23.1.2.2. заключить договор с конкретным поставщиком, исполнителем, подрядчиком.</w:t>
      </w:r>
    </w:p>
    <w:p>
      <w:pPr>
        <w:pStyle w:val="Normal"/>
        <w:ind w:firstLine="567"/>
        <w:jc w:val="both"/>
        <w:rPr/>
      </w:pPr>
      <w:r>
        <w:rPr/>
        <w:t>Проведение прямой безальтернативной закупки возможно только после включения данной закупки в план закупки и план закупки инновационной и высокотехнологичной продукции и лекарственных средств (при необходимости).</w:t>
      </w:r>
    </w:p>
    <w:p>
      <w:pPr>
        <w:pStyle w:val="Normal"/>
        <w:ind w:firstLine="567"/>
        <w:jc w:val="both"/>
        <w:rPr>
          <w:color w:val="FF0000"/>
        </w:rPr>
      </w:pPr>
      <w:r>
        <w:rPr/>
        <w:t>Обоснование потребности в проведения прямой безальтернативной закупки разрабатывается инициатором или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о причинах необходимости приобрести его у конкретного поставщика.</w:t>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t>23.2. Извещение и документация о прямой безальтернативной закупке</w:t>
      </w:r>
    </w:p>
    <w:p>
      <w:pPr>
        <w:pStyle w:val="14"/>
        <w:spacing w:lineRule="auto" w:line="240" w:before="0" w:after="0"/>
        <w:ind w:left="0" w:firstLine="567"/>
        <w:jc w:val="center"/>
        <w:rPr>
          <w:rFonts w:ascii="Times New Roman" w:hAnsi="Times New Roman" w:cs="Times New Roman"/>
          <w:b/>
          <w:b/>
          <w:sz w:val="24"/>
          <w:szCs w:val="24"/>
        </w:rPr>
      </w:pPr>
      <w:r>
        <w:rPr>
          <w:rFonts w:cs="Times New Roman" w:ascii="Times New Roman" w:hAnsi="Times New Roman"/>
          <w:b/>
          <w:sz w:val="24"/>
          <w:szCs w:val="24"/>
        </w:rPr>
      </w:r>
      <w:bookmarkStart w:id="173" w:name="_Hlk533592527"/>
      <w:bookmarkStart w:id="174" w:name="_Hlk533592527"/>
      <w:bookmarkEnd w:id="174"/>
    </w:p>
    <w:p>
      <w:pPr>
        <w:pStyle w:val="Normal"/>
        <w:ind w:firstLine="567"/>
        <w:jc w:val="both"/>
        <w:rPr/>
      </w:pPr>
      <w:r>
        <w:rPr/>
        <w:t>23.2.1. Извещение о прямой безальтернативной закупке и документация о прямой безальтернативной закупке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 Извещение и документация о проведении прямой безальтернативной закупки не являются ни офертой, ни акцептом.</w:t>
      </w:r>
      <w:bookmarkStart w:id="175" w:name="_Hlk533603637"/>
      <w:bookmarkEnd w:id="175"/>
    </w:p>
    <w:p>
      <w:pPr>
        <w:pStyle w:val="Normal"/>
        <w:ind w:firstLine="567"/>
        <w:jc w:val="both"/>
        <w:rPr/>
      </w:pPr>
      <w:r>
        <w:rPr/>
        <w:t>23.2.2. Извещение о прямой безальтернативной закупке составляется по форме, приведенной в приложении N 1 к настоящему Положению.</w:t>
      </w:r>
    </w:p>
    <w:p>
      <w:pPr>
        <w:pStyle w:val="Normal"/>
        <w:ind w:firstLine="567"/>
        <w:jc w:val="both"/>
        <w:rPr/>
      </w:pPr>
      <w:r>
        <w:rPr/>
        <w:t>23.2.3. Документация о прямой безальтернативной закупке составляется по форме, приведенной в приложении N 2 к настоящему Положению.</w:t>
      </w:r>
      <w:bookmarkStart w:id="176" w:name="_Hlk121820650"/>
      <w:bookmarkEnd w:id="176"/>
    </w:p>
    <w:p>
      <w:pPr>
        <w:pStyle w:val="Normal"/>
        <w:ind w:firstLine="567"/>
        <w:jc w:val="both"/>
        <w:rPr/>
      </w:pPr>
      <w:r>
        <w:rPr/>
        <w:t>23.2.4. К извещению и документации о прямой безальтернативной закупке должен прилагаться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без указания (с указанием по усмотрению заказчика) контрагента по такому договору и сведений о таком контрагенте. Договор должен быть заключен не позднее двадцати календарных дней после размещения извещения документации в единой информационной системе.</w:t>
      </w:r>
    </w:p>
    <w:p>
      <w:pPr>
        <w:pStyle w:val="Normal"/>
        <w:ind w:firstLine="567"/>
        <w:jc w:val="both"/>
        <w:rPr/>
      </w:pPr>
      <w:r>
        <w:rPr/>
        <w:t>В случае, если документация о проведении прямой безальтернативной закупки размещается в единой информационной системе после подписания (пролонгации) договора, к документации о проведении прямой безальтернативной закупки должна быть приложена копия заключенного договора.</w:t>
      </w:r>
    </w:p>
    <w:p>
      <w:pPr>
        <w:pStyle w:val="Normal"/>
        <w:ind w:firstLine="567"/>
        <w:jc w:val="both"/>
        <w:rPr/>
      </w:pPr>
      <w:r>
        <w:rPr/>
        <w:t>23.2.5. Извещение и документация о проведении прямой безальтернативной закупки быть размещены в единой информационной системе как до подписания (пролонгации) договора, так и после подписания (пролонгации) договора с поставщиком (исполнителем, подрядчика).</w:t>
      </w:r>
    </w:p>
    <w:p>
      <w:pPr>
        <w:pStyle w:val="Normal"/>
        <w:suppressAutoHyphens w:val="false"/>
        <w:ind w:firstLine="567"/>
        <w:jc w:val="both"/>
        <w:rPr>
          <w:rFonts w:eastAsia="Calibri" w:eastAsiaTheme="minorHAnsi"/>
          <w:lang w:eastAsia="en-US"/>
        </w:rPr>
      </w:pPr>
      <w:r>
        <w:rPr/>
        <w:t xml:space="preserve">23.2.6.  </w:t>
      </w:r>
      <w:bookmarkStart w:id="177" w:name="_Hlk121823373"/>
      <w:r>
        <w:rPr/>
        <w:t xml:space="preserve">В случае невозможности определения сведений о цены договора, Заказчик вправе указать в извещении и документации о закупке порядок определения цены, </w:t>
      </w:r>
      <w:r>
        <w:rPr>
          <w:rFonts w:eastAsia="Calibri" w:eastAsiaTheme="minorHAnsi"/>
          <w:lang w:eastAsia="en-US"/>
        </w:rPr>
        <w:t>устанавливающей правила расчета сумм, подлежащих уплате заказчиком поставщику (исполнителю, подрядчику) в ходе исполнения договора</w:t>
      </w:r>
      <w:bookmarkEnd w:id="177"/>
      <w:r>
        <w:rPr>
          <w:rFonts w:eastAsia="Calibri" w:eastAsiaTheme="minorHAnsi"/>
          <w:lang w:eastAsia="en-US"/>
        </w:rPr>
        <w:t xml:space="preserve">. </w:t>
      </w:r>
      <w:bookmarkStart w:id="178" w:name="_Hlk121823076"/>
      <w:bookmarkEnd w:id="178"/>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23.2.7. Для проведения прямой безальтернативной закупки собирается комиссия по закупкам.</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 xml:space="preserve">Протокол проведения прямой безальтернативной закупки оформляется секретарем комиссии и подписывается всеми присутствующими членами комиссии по закупкам. </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В протоколе проведения прямой безальтернативной закупки указываются: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1) место, дата составления протокола;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2) фамилии, имена, отчества, должности членов комиссии по закупкам;</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3) способ закупки (прямой безальтернативной закупки);</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4) предмет договора;</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5) сведения о цене договора;</w:t>
      </w:r>
    </w:p>
    <w:p>
      <w:pPr>
        <w:pStyle w:val="ConsPlusNormal2"/>
        <w:spacing w:before="0" w:after="0"/>
        <w:ind w:firstLine="567"/>
        <w:contextualSpacing/>
        <w:jc w:val="both"/>
        <w:rPr/>
      </w:pPr>
      <w:r>
        <w:rPr>
          <w:rFonts w:cs="Times New Roman" w:ascii="Times New Roman" w:hAnsi="Times New Roman"/>
          <w:sz w:val="24"/>
          <w:szCs w:val="24"/>
        </w:rPr>
        <w:t xml:space="preserve">6) решение о заключении договора с конкретным поставщиком (исполнителем, подрядчиком) и обоснование такого решения с указанием соответствующего подпункта </w:t>
      </w:r>
      <w:hyperlink w:anchor="P1034">
        <w:r>
          <w:rPr>
            <w:rStyle w:val="ListLabel9"/>
            <w:rFonts w:cs="Times New Roman" w:ascii="Times New Roman" w:hAnsi="Times New Roman"/>
            <w:sz w:val="24"/>
            <w:szCs w:val="24"/>
          </w:rPr>
          <w:t xml:space="preserve">п. </w:t>
        </w:r>
      </w:hyperlink>
      <w:r>
        <w:rPr>
          <w:rFonts w:cs="Times New Roman" w:ascii="Times New Roman" w:hAnsi="Times New Roman"/>
          <w:sz w:val="24"/>
          <w:szCs w:val="24"/>
        </w:rPr>
        <w:t>6.3.8 настоящего Положения;</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t>7) наименование, адрес места нахождения поставщика (исполнителя, подрядчика), ИНН/КПП/ОГРН юридического лица, фамилия, имя, отчество физического лица, ИНН/ОГРНИП (при наличии).</w:t>
      </w:r>
    </w:p>
    <w:p>
      <w:pPr>
        <w:pStyle w:val="ConsPlusNormal2"/>
        <w:spacing w:before="0" w:after="0"/>
        <w:ind w:firstLine="567"/>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rmal2"/>
        <w:spacing w:before="0" w:after="0"/>
        <w:ind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24. Порядок определения и обоснования начальной (максимальной) цены договора</w:t>
      </w:r>
    </w:p>
    <w:p>
      <w:pPr>
        <w:pStyle w:val="14"/>
        <w:spacing w:lineRule="auto" w:line="240" w:before="0" w:after="0"/>
        <w:ind w:left="72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9"/>
        </w:numPr>
        <w:tabs>
          <w:tab w:val="left" w:pos="426" w:leader="none"/>
          <w:tab w:val="left" w:pos="709" w:leader="none"/>
          <w:tab w:val="left" w:pos="1276" w:leader="none"/>
          <w:tab w:val="left" w:pos="2940" w:leader="none"/>
        </w:tabs>
        <w:spacing w:before="0" w:after="0"/>
        <w:ind w:left="0" w:firstLine="567"/>
        <w:contextualSpacing/>
        <w:jc w:val="both"/>
        <w:rPr/>
      </w:pPr>
      <w:r>
        <w:rPr/>
        <w:t xml:space="preserve">Настоящая глава предусматривает порядок определения и обоснования </w:t>
      </w:r>
      <w:r>
        <w:rPr>
          <w:i/>
        </w:rPr>
        <w:t xml:space="preserve">начальной (максимальной) цены договора (далее-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w:t>
      </w:r>
    </w:p>
    <w:p>
      <w:pPr>
        <w:pStyle w:val="ListParagraph"/>
        <w:numPr>
          <w:ilvl w:val="1"/>
          <w:numId w:val="9"/>
        </w:numPr>
        <w:tabs>
          <w:tab w:val="left" w:pos="426" w:leader="none"/>
          <w:tab w:val="left" w:pos="709" w:leader="none"/>
          <w:tab w:val="left" w:pos="1276" w:leader="none"/>
          <w:tab w:val="left" w:pos="2940" w:leader="none"/>
        </w:tabs>
        <w:spacing w:before="0" w:after="0"/>
        <w:ind w:left="0" w:firstLine="567"/>
        <w:contextualSpacing/>
        <w:jc w:val="both"/>
        <w:rPr/>
      </w:pPr>
      <w:r>
        <w:rPr/>
        <w:t xml:space="preserve">Определение и обоснование НМЦД осуществляется Заказчиком по конкурентным закупкам. </w:t>
      </w:r>
    </w:p>
    <w:p>
      <w:pPr>
        <w:pStyle w:val="ListParagraph"/>
        <w:tabs>
          <w:tab w:val="left" w:pos="426" w:leader="none"/>
          <w:tab w:val="left" w:pos="709" w:leader="none"/>
          <w:tab w:val="left" w:pos="1276" w:leader="none"/>
          <w:tab w:val="left" w:pos="2940" w:leader="none"/>
        </w:tabs>
        <w:ind w:left="0" w:hanging="0"/>
        <w:jc w:val="both"/>
        <w:rPr/>
      </w:pPr>
      <w:r>
        <w:rPr/>
        <w:tab/>
        <w:t xml:space="preserve">Определение и обоснование цены договора, заключаемого с единственным поставщиком (исполнителем, подрядчиком), осуществляется при закупке товаров, работ, услуг свыше 100 000 (ста тысяч) рублей. </w:t>
      </w:r>
    </w:p>
    <w:p>
      <w:pPr>
        <w:pStyle w:val="ListParagraph"/>
        <w:tabs>
          <w:tab w:val="left" w:pos="426" w:leader="none"/>
          <w:tab w:val="left" w:pos="709" w:leader="none"/>
          <w:tab w:val="left" w:pos="1276" w:leader="none"/>
          <w:tab w:val="left" w:pos="2940" w:leader="none"/>
        </w:tabs>
        <w:ind w:left="0" w:hanging="0"/>
        <w:jc w:val="both"/>
        <w:rPr/>
      </w:pPr>
      <w:r>
        <w:rPr/>
        <w:t xml:space="preserve">Максимальное значение цены договора определяется Заказчиком при установлении количества (объема) закупаемых товаров, работ, услуг в денежном выражении и не может превышать объем финансирования, имеющийся у Заказчика. </w:t>
      </w:r>
    </w:p>
    <w:p>
      <w:pPr>
        <w:pStyle w:val="ListParagraph"/>
        <w:numPr>
          <w:ilvl w:val="1"/>
          <w:numId w:val="9"/>
        </w:numPr>
        <w:tabs>
          <w:tab w:val="left" w:pos="426" w:leader="none"/>
          <w:tab w:val="left" w:pos="709" w:leader="none"/>
          <w:tab w:val="left" w:pos="1276" w:leader="none"/>
          <w:tab w:val="left" w:pos="2940" w:leader="none"/>
        </w:tabs>
        <w:spacing w:before="0" w:after="0"/>
        <w:ind w:left="0" w:firstLine="567"/>
        <w:contextualSpacing/>
        <w:jc w:val="both"/>
        <w:rPr/>
      </w:pPr>
      <w:r>
        <w:rPr/>
        <w:t xml:space="preserve">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w:t>
      </w:r>
    </w:p>
    <w:p>
      <w:pPr>
        <w:pStyle w:val="ListParagraph"/>
        <w:numPr>
          <w:ilvl w:val="1"/>
          <w:numId w:val="9"/>
        </w:numPr>
        <w:tabs>
          <w:tab w:val="left" w:pos="426" w:leader="none"/>
          <w:tab w:val="left" w:pos="709" w:leader="none"/>
          <w:tab w:val="left" w:pos="1276" w:leader="none"/>
          <w:tab w:val="left" w:pos="2940" w:leader="none"/>
        </w:tabs>
        <w:spacing w:before="0" w:after="0"/>
        <w:ind w:left="0" w:firstLine="567"/>
        <w:contextualSpacing/>
        <w:jc w:val="both"/>
        <w:rPr/>
      </w:pPr>
      <w:r>
        <w:rPr/>
        <w:t xml:space="preserve">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w:t>
      </w:r>
    </w:p>
    <w:p>
      <w:pPr>
        <w:pStyle w:val="ListParagraph"/>
        <w:numPr>
          <w:ilvl w:val="1"/>
          <w:numId w:val="9"/>
        </w:numPr>
        <w:tabs>
          <w:tab w:val="left" w:pos="426" w:leader="none"/>
          <w:tab w:val="left" w:pos="709" w:leader="none"/>
          <w:tab w:val="left" w:pos="1276" w:leader="none"/>
          <w:tab w:val="left" w:pos="2940" w:leader="none"/>
        </w:tabs>
        <w:spacing w:before="0" w:after="0"/>
        <w:ind w:left="0" w:firstLine="567"/>
        <w:contextualSpacing/>
        <w:jc w:val="both"/>
        <w:rPr/>
      </w:pPr>
      <w:r>
        <w:rPr/>
        <w:t>В целях осуществления закупки рекомендуется выполнить следующую последовательность действий для определения НМЦД:</w:t>
      </w:r>
    </w:p>
    <w:p>
      <w:pPr>
        <w:pStyle w:val="ListParagraph"/>
        <w:numPr>
          <w:ilvl w:val="0"/>
          <w:numId w:val="8"/>
        </w:numPr>
        <w:tabs>
          <w:tab w:val="left" w:pos="993" w:leader="none"/>
          <w:tab w:val="left" w:pos="1276" w:leader="none"/>
          <w:tab w:val="left" w:pos="2940" w:leader="none"/>
        </w:tabs>
        <w:spacing w:before="0" w:after="0"/>
        <w:ind w:left="0" w:firstLine="709"/>
        <w:contextualSpacing/>
        <w:jc w:val="both"/>
        <w:rPr/>
      </w:pPr>
      <w:r>
        <w:rPr/>
        <w:t xml:space="preserve"> </w:t>
      </w:r>
      <w:r>
        <w:rPr/>
        <w:t xml:space="preserve">определить потребность в конкретном товаре, работе, услуге; </w:t>
      </w:r>
    </w:p>
    <w:p>
      <w:pPr>
        <w:pStyle w:val="ListParagraph"/>
        <w:numPr>
          <w:ilvl w:val="0"/>
          <w:numId w:val="8"/>
        </w:numPr>
        <w:tabs>
          <w:tab w:val="left" w:pos="993" w:leader="none"/>
          <w:tab w:val="left" w:pos="1276" w:leader="none"/>
          <w:tab w:val="left" w:pos="2940" w:leader="none"/>
        </w:tabs>
        <w:spacing w:before="0" w:after="0"/>
        <w:ind w:left="0" w:firstLine="709"/>
        <w:contextualSpacing/>
        <w:jc w:val="both"/>
        <w:rPr/>
      </w:pPr>
      <w:r>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pPr>
        <w:pStyle w:val="ListParagraph"/>
        <w:numPr>
          <w:ilvl w:val="0"/>
          <w:numId w:val="8"/>
        </w:numPr>
        <w:tabs>
          <w:tab w:val="left" w:pos="993" w:leader="none"/>
          <w:tab w:val="left" w:pos="1276" w:leader="none"/>
          <w:tab w:val="left" w:pos="2940" w:leader="none"/>
        </w:tabs>
        <w:spacing w:before="0" w:after="0"/>
        <w:ind w:left="0" w:firstLine="709"/>
        <w:contextualSpacing/>
        <w:jc w:val="both"/>
        <w:rPr/>
      </w:pPr>
      <w:r>
        <w:rPr/>
        <w:t xml:space="preserve">провести исследование рынка путем изучения общедоступных источников информации, в целях выявления имеющихся на рынке товаров, работ, услуг, отвечающих определенных Заказчиком требованиям; </w:t>
      </w:r>
    </w:p>
    <w:p>
      <w:pPr>
        <w:pStyle w:val="ListParagraph"/>
        <w:numPr>
          <w:ilvl w:val="1"/>
          <w:numId w:val="9"/>
        </w:numPr>
        <w:tabs>
          <w:tab w:val="left" w:pos="426" w:leader="none"/>
          <w:tab w:val="left" w:pos="851" w:leader="none"/>
          <w:tab w:val="left" w:pos="1276" w:leader="none"/>
          <w:tab w:val="left" w:pos="2940" w:leader="none"/>
        </w:tabs>
        <w:spacing w:before="0" w:after="0"/>
        <w:ind w:left="0" w:firstLine="567"/>
        <w:contextualSpacing/>
        <w:jc w:val="both"/>
        <w:rPr/>
      </w:pPr>
      <w:r>
        <w:rPr/>
        <w:t xml:space="preserve">Заказчик для обоснования и определения цены может применять следующие методы: </w:t>
      </w:r>
    </w:p>
    <w:p>
      <w:pPr>
        <w:pStyle w:val="ListParagraph"/>
        <w:numPr>
          <w:ilvl w:val="2"/>
          <w:numId w:val="9"/>
        </w:numPr>
        <w:tabs>
          <w:tab w:val="left" w:pos="993" w:leader="none"/>
          <w:tab w:val="left" w:pos="1276" w:leader="none"/>
          <w:tab w:val="left" w:pos="1418" w:leader="none"/>
          <w:tab w:val="left" w:pos="1701" w:leader="none"/>
        </w:tabs>
        <w:spacing w:before="0" w:after="0"/>
        <w:ind w:left="0" w:firstLine="567"/>
        <w:contextualSpacing/>
        <w:jc w:val="both"/>
        <w:rPr/>
      </w:pPr>
      <w:r>
        <w:rPr/>
        <w:t>Метод сопоставимых рыночных цен -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pPr>
        <w:pStyle w:val="Normal"/>
        <w:tabs>
          <w:tab w:val="left" w:pos="993" w:leader="none"/>
          <w:tab w:val="left" w:pos="2940" w:leader="none"/>
        </w:tabs>
        <w:jc w:val="both"/>
        <w:rPr/>
      </w:pPr>
      <w:r>
        <w:rPr/>
        <w:t xml:space="preserve">         </w:t>
      </w:r>
      <w:r>
        <w:rPr/>
        <w:t>24.6.1.1. Идентичными признаются:</w:t>
      </w:r>
    </w:p>
    <w:p>
      <w:pPr>
        <w:pStyle w:val="Normal"/>
        <w:tabs>
          <w:tab w:val="left" w:pos="993" w:leader="none"/>
          <w:tab w:val="left" w:pos="2940" w:leader="none"/>
        </w:tabs>
        <w:ind w:firstLine="709"/>
        <w:jc w:val="both"/>
        <w:rPr/>
      </w:pPr>
      <w:r>
        <w:rPr/>
        <w:t>-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pPr>
        <w:pStyle w:val="Normal"/>
        <w:tabs>
          <w:tab w:val="left" w:pos="993" w:leader="none"/>
          <w:tab w:val="left" w:pos="2940" w:leader="none"/>
        </w:tabs>
        <w:ind w:firstLine="709"/>
        <w:jc w:val="both"/>
        <w:rPr/>
      </w:pPr>
      <w:r>
        <w:rPr/>
        <w:t>-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pPr>
        <w:pStyle w:val="Normal"/>
        <w:tabs>
          <w:tab w:val="left" w:pos="993" w:leader="none"/>
          <w:tab w:val="left" w:pos="2940" w:leader="none"/>
        </w:tabs>
        <w:jc w:val="both"/>
        <w:rPr/>
      </w:pPr>
      <w:r>
        <w:rPr/>
        <w:t xml:space="preserve">        </w:t>
      </w:r>
      <w:r>
        <w:rPr/>
        <w:t>24.6.1.2. Однородными признаются:</w:t>
      </w:r>
    </w:p>
    <w:p>
      <w:pPr>
        <w:pStyle w:val="Normal"/>
        <w:tabs>
          <w:tab w:val="left" w:pos="993" w:leader="none"/>
          <w:tab w:val="left" w:pos="2940" w:leader="none"/>
        </w:tabs>
        <w:ind w:firstLine="709"/>
        <w:jc w:val="both"/>
        <w:rPr/>
      </w:pPr>
      <w:r>
        <w:rPr/>
        <w:t>-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Normal"/>
        <w:tabs>
          <w:tab w:val="left" w:pos="993" w:leader="none"/>
          <w:tab w:val="left" w:pos="2940" w:leader="none"/>
        </w:tabs>
        <w:ind w:firstLine="709"/>
        <w:jc w:val="both"/>
        <w:rPr/>
      </w:pPr>
      <w:r>
        <w:rPr/>
        <w:t>-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Normal"/>
        <w:tabs>
          <w:tab w:val="left" w:pos="993" w:leader="none"/>
          <w:tab w:val="left" w:pos="2940" w:leader="none"/>
        </w:tabs>
        <w:jc w:val="both"/>
        <w:rPr/>
      </w:pPr>
      <w:r>
        <w:rPr/>
        <w:t xml:space="preserve">            </w:t>
      </w:r>
      <w:r>
        <w:rPr/>
        <w:t>24.6.1.3. В целях получения ценовой информации в отношении товара, работы, услуги могут использоваться:</w:t>
      </w:r>
    </w:p>
    <w:p>
      <w:pPr>
        <w:pStyle w:val="Normal"/>
        <w:tabs>
          <w:tab w:val="left" w:pos="993" w:leader="none"/>
          <w:tab w:val="left" w:pos="2940" w:leader="none"/>
        </w:tabs>
        <w:ind w:firstLine="709"/>
        <w:jc w:val="both"/>
        <w:rPr/>
      </w:pPr>
      <w:r>
        <w:rPr/>
        <w:t>1) ответы на запросы о предоставлении ценовой информации не менее трем поставщикам (исполнителям, подрядчикам), информация о которых имеется в свободном доступе (в частности, опубликована в печати, размещена на сайтах в сети "Интернет");</w:t>
      </w:r>
    </w:p>
    <w:p>
      <w:pPr>
        <w:pStyle w:val="Normal"/>
        <w:tabs>
          <w:tab w:val="left" w:pos="993" w:leader="none"/>
          <w:tab w:val="left" w:pos="2940" w:leader="none"/>
        </w:tabs>
        <w:ind w:firstLine="709"/>
        <w:jc w:val="both"/>
        <w:rPr/>
      </w:pPr>
      <w:r>
        <w:rPr/>
        <w:t>2)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pPr>
        <w:pStyle w:val="Normal"/>
        <w:tabs>
          <w:tab w:val="left" w:pos="993" w:leader="none"/>
          <w:tab w:val="left" w:pos="2940" w:leader="none"/>
        </w:tabs>
        <w:ind w:firstLine="709"/>
        <w:jc w:val="both"/>
        <w:rPr/>
      </w:pPr>
      <w:r>
        <w:rPr/>
        <w:t>3) сбор и анализ общедоступной ценовой информации, к которой относится в том числе:</w:t>
      </w:r>
    </w:p>
    <w:p>
      <w:pPr>
        <w:pStyle w:val="Normal"/>
        <w:tabs>
          <w:tab w:val="left" w:pos="993" w:leader="none"/>
          <w:tab w:val="left" w:pos="2940" w:leader="none"/>
        </w:tabs>
        <w:ind w:firstLine="709"/>
        <w:jc w:val="both"/>
        <w:rPr/>
      </w:pPr>
      <w:r>
        <w:rPr/>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pPr>
        <w:pStyle w:val="Normal"/>
        <w:tabs>
          <w:tab w:val="left" w:pos="993" w:leader="none"/>
          <w:tab w:val="left" w:pos="2940" w:leader="none"/>
        </w:tabs>
        <w:ind w:firstLine="709"/>
        <w:jc w:val="both"/>
        <w:rPr/>
      </w:pPr>
      <w:r>
        <w:rPr/>
        <w:t>- информация о котировках на российских биржах и иностранных биржах;</w:t>
      </w:r>
    </w:p>
    <w:p>
      <w:pPr>
        <w:pStyle w:val="Normal"/>
        <w:tabs>
          <w:tab w:val="left" w:pos="993" w:leader="none"/>
          <w:tab w:val="left" w:pos="2940" w:leader="none"/>
        </w:tabs>
        <w:ind w:firstLine="709"/>
        <w:jc w:val="both"/>
        <w:rPr/>
      </w:pPr>
      <w:r>
        <w:rPr/>
        <w:t>- информация о котировках на электронных площадках;</w:t>
      </w:r>
    </w:p>
    <w:p>
      <w:pPr>
        <w:pStyle w:val="Normal"/>
        <w:tabs>
          <w:tab w:val="left" w:pos="993" w:leader="none"/>
          <w:tab w:val="left" w:pos="2940" w:leader="none"/>
        </w:tabs>
        <w:ind w:firstLine="709"/>
        <w:jc w:val="both"/>
        <w:rPr/>
      </w:pPr>
      <w:r>
        <w:rPr/>
        <w:t>- данные государственной статистической отчетности о ценах товаров, работ, услуг;</w:t>
      </w:r>
    </w:p>
    <w:p>
      <w:pPr>
        <w:pStyle w:val="Normal"/>
        <w:tabs>
          <w:tab w:val="left" w:pos="993" w:leader="none"/>
          <w:tab w:val="left" w:pos="2940" w:leader="none"/>
        </w:tabs>
        <w:ind w:firstLine="709"/>
        <w:jc w:val="both"/>
        <w:rPr/>
      </w:pPr>
      <w:r>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Normal"/>
        <w:tabs>
          <w:tab w:val="left" w:pos="993" w:leader="none"/>
          <w:tab w:val="left" w:pos="2940" w:leader="none"/>
        </w:tabs>
        <w:ind w:firstLine="709"/>
        <w:jc w:val="both"/>
        <w:rPr/>
      </w:pPr>
      <w:r>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pPr>
        <w:pStyle w:val="Normal"/>
        <w:tabs>
          <w:tab w:val="left" w:pos="993" w:leader="none"/>
          <w:tab w:val="left" w:pos="2940" w:leader="none"/>
        </w:tabs>
        <w:ind w:firstLine="709"/>
        <w:jc w:val="both"/>
        <w:rPr/>
      </w:pPr>
      <w:r>
        <w:rPr/>
        <w:t>- иные источники информации, в том числе общедоступные результаты изучения рынка.</w:t>
      </w:r>
    </w:p>
    <w:p>
      <w:pPr>
        <w:pStyle w:val="Normal"/>
        <w:tabs>
          <w:tab w:val="left" w:pos="993" w:leader="none"/>
          <w:tab w:val="left" w:pos="2940" w:leader="none"/>
        </w:tabs>
        <w:ind w:firstLine="709"/>
        <w:jc w:val="both"/>
        <w:rPr/>
      </w:pPr>
      <w:r>
        <w:rPr/>
        <w:t xml:space="preserve">Также могут использоваться обоснованные коэффициенты и (или) индексы для пересчета цена на товары (работы, услуги) с учетом различий в характеристиках товаров, коммерческих и (или) финансовых условий поставки товаров (выполнении работ, оказании услуг). </w:t>
      </w:r>
    </w:p>
    <w:p>
      <w:pPr>
        <w:pStyle w:val="Normal"/>
        <w:tabs>
          <w:tab w:val="left" w:pos="993" w:leader="none"/>
          <w:tab w:val="left" w:pos="2940" w:leader="none"/>
        </w:tabs>
        <w:jc w:val="both"/>
        <w:rPr/>
      </w:pPr>
      <w:r>
        <w:rPr/>
        <w:t xml:space="preserve">           </w:t>
      </w:r>
      <w:r>
        <w:rPr/>
        <w:t>24.6.1.4. Запрос на предоставление ценовой информации, направляемый потенциальному поставщику (исполнителю, подрядчику) может содержать:</w:t>
      </w:r>
    </w:p>
    <w:p>
      <w:pPr>
        <w:pStyle w:val="Normal"/>
        <w:tabs>
          <w:tab w:val="left" w:pos="993" w:leader="none"/>
          <w:tab w:val="left" w:pos="2940" w:leader="none"/>
        </w:tabs>
        <w:ind w:firstLine="709"/>
        <w:jc w:val="both"/>
        <w:rPr/>
      </w:pPr>
      <w:r>
        <w:rPr/>
        <w:t xml:space="preserve">1)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требования к гарантийному сроку товара, работы, услуги и (или) объему предоставления гарантий их качества, требования к товарам, работам, услугам, закупка которых планируется. </w:t>
      </w:r>
    </w:p>
    <w:p>
      <w:pPr>
        <w:pStyle w:val="Normal"/>
        <w:tabs>
          <w:tab w:val="left" w:pos="993" w:leader="none"/>
          <w:tab w:val="left" w:pos="2940" w:leader="none"/>
        </w:tabs>
        <w:ind w:firstLine="709"/>
        <w:jc w:val="both"/>
        <w:rPr/>
      </w:pPr>
      <w:r>
        <w:rPr/>
        <w:t>2) сроки предоставления ценовой информации;</w:t>
      </w:r>
    </w:p>
    <w:p>
      <w:pPr>
        <w:pStyle w:val="Normal"/>
        <w:tabs>
          <w:tab w:val="left" w:pos="993" w:leader="none"/>
          <w:tab w:val="left" w:pos="2940" w:leader="none"/>
        </w:tabs>
        <w:ind w:firstLine="709"/>
        <w:jc w:val="both"/>
        <w:rPr/>
      </w:pPr>
      <w:r>
        <w:rPr/>
        <w:t>3) информацию о том, что проведение данной процедуры сбора информации не влечет за собой возникновение каких-либо обязательств заказчика;</w:t>
      </w:r>
    </w:p>
    <w:p>
      <w:pPr>
        <w:pStyle w:val="Normal"/>
        <w:tabs>
          <w:tab w:val="left" w:pos="993" w:leader="none"/>
          <w:tab w:val="left" w:pos="2940" w:leader="none"/>
        </w:tabs>
        <w:ind w:firstLine="709"/>
        <w:jc w:val="both"/>
        <w:rPr/>
      </w:pPr>
      <w:r>
        <w:rPr/>
        <w:t>4)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pPr>
        <w:pStyle w:val="Normal"/>
        <w:tabs>
          <w:tab w:val="left" w:pos="993" w:leader="none"/>
          <w:tab w:val="left" w:pos="2940" w:leader="none"/>
        </w:tabs>
        <w:jc w:val="both"/>
        <w:rPr/>
      </w:pPr>
      <w:r>
        <w:rPr/>
        <w:t xml:space="preserve">           </w:t>
      </w:r>
      <w:r>
        <w:rPr/>
        <w:t>24.6.1.5. Для расчета НМЦД не используется следующая информация:</w:t>
      </w:r>
    </w:p>
    <w:p>
      <w:pPr>
        <w:pStyle w:val="Normal"/>
        <w:tabs>
          <w:tab w:val="left" w:pos="993" w:leader="none"/>
          <w:tab w:val="left" w:pos="2940" w:leader="none"/>
        </w:tabs>
        <w:ind w:firstLine="709"/>
        <w:jc w:val="both"/>
        <w:rPr/>
      </w:pPr>
      <w:r>
        <w:rPr/>
        <w:t>- 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pPr>
        <w:pStyle w:val="Normal"/>
        <w:tabs>
          <w:tab w:val="left" w:pos="993" w:leader="none"/>
          <w:tab w:val="left" w:pos="2940" w:leader="none"/>
        </w:tabs>
        <w:ind w:firstLine="709"/>
        <w:jc w:val="both"/>
        <w:rPr/>
      </w:pPr>
      <w:r>
        <w:rPr/>
        <w:t>- полученная из анонимных источников;</w:t>
      </w:r>
    </w:p>
    <w:p>
      <w:pPr>
        <w:pStyle w:val="Normal"/>
        <w:tabs>
          <w:tab w:val="left" w:pos="993" w:leader="none"/>
          <w:tab w:val="left" w:pos="2940" w:leader="none"/>
        </w:tabs>
        <w:ind w:firstLine="709"/>
        <w:jc w:val="both"/>
        <w:rPr/>
      </w:pPr>
      <w:r>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pPr>
        <w:pStyle w:val="Normal"/>
        <w:tabs>
          <w:tab w:val="left" w:pos="993" w:leader="none"/>
          <w:tab w:val="left" w:pos="2940" w:leader="none"/>
        </w:tabs>
        <w:jc w:val="both"/>
        <w:rPr/>
      </w:pPr>
      <w:r>
        <w:rPr/>
        <w:t xml:space="preserve">           </w:t>
      </w:r>
      <w:r>
        <w:rPr/>
        <w:t xml:space="preserve">24.6.1.6. НМЦД обосновывается методом сопоставимых рыночных цен по следующей формуле: </w:t>
      </w:r>
    </w:p>
    <w:p>
      <w:pPr>
        <w:pStyle w:val="Normal"/>
        <w:tabs>
          <w:tab w:val="left" w:pos="993" w:leader="none"/>
          <w:tab w:val="left" w:pos="2940" w:leader="none"/>
        </w:tabs>
        <w:ind w:firstLine="709"/>
        <w:jc w:val="both"/>
        <w:rPr/>
      </w:pPr>
      <w:r>
        <w:rPr/>
        <w:t xml:space="preserve">                                                </w:t>
      </w:r>
      <w:r>
        <w:rPr/>
        <w:t xml:space="preserve">НМЦД= </w:t>
      </w:r>
      <w:r>
        <w:rPr>
          <w:u w:val="single"/>
        </w:rPr>
        <w:t>(А+В+С)</w:t>
      </w:r>
      <w:r>
        <w:rPr/>
        <w:t xml:space="preserve"> </w:t>
      </w:r>
    </w:p>
    <w:p>
      <w:pPr>
        <w:pStyle w:val="Normal"/>
        <w:tabs>
          <w:tab w:val="left" w:pos="993" w:leader="none"/>
          <w:tab w:val="left" w:pos="2940" w:leader="none"/>
        </w:tabs>
        <w:ind w:firstLine="709"/>
        <w:jc w:val="both"/>
        <w:rPr/>
      </w:pPr>
      <w:r>
        <w:rPr/>
        <w:t xml:space="preserve">                                                                      </w:t>
      </w:r>
      <w:r>
        <w:rPr>
          <w:lang w:val="en-US"/>
        </w:rPr>
        <w:t>n</w:t>
      </w:r>
    </w:p>
    <w:p>
      <w:pPr>
        <w:pStyle w:val="Normal"/>
        <w:tabs>
          <w:tab w:val="left" w:pos="993" w:leader="none"/>
          <w:tab w:val="left" w:pos="2940" w:leader="none"/>
        </w:tabs>
        <w:ind w:firstLine="709"/>
        <w:jc w:val="both"/>
        <w:rPr/>
      </w:pPr>
      <w:r>
        <w:rPr/>
      </w:r>
    </w:p>
    <w:p>
      <w:pPr>
        <w:pStyle w:val="Normal"/>
        <w:tabs>
          <w:tab w:val="left" w:pos="993" w:leader="none"/>
          <w:tab w:val="left" w:pos="2940" w:leader="none"/>
        </w:tabs>
        <w:ind w:firstLine="709"/>
        <w:jc w:val="both"/>
        <w:rPr/>
      </w:pPr>
      <w:r>
        <w:rPr>
          <w:lang w:val="en-US"/>
        </w:rPr>
        <w:t>A</w:t>
      </w:r>
      <w:r>
        <w:rPr/>
        <w:t xml:space="preserve">, </w:t>
      </w:r>
      <w:r>
        <w:rPr>
          <w:lang w:val="en-US"/>
        </w:rPr>
        <w:t>B</w:t>
      </w:r>
      <w:r>
        <w:rPr/>
        <w:t xml:space="preserve">, </w:t>
      </w:r>
      <w:r>
        <w:rPr>
          <w:lang w:val="en-US"/>
        </w:rPr>
        <w:t>C</w:t>
      </w:r>
      <w:r>
        <w:rPr/>
        <w:t xml:space="preserve"> - ценовая информация относительно объекта закупки;</w:t>
      </w:r>
    </w:p>
    <w:p>
      <w:pPr>
        <w:pStyle w:val="Normal"/>
        <w:tabs>
          <w:tab w:val="left" w:pos="993" w:leader="none"/>
          <w:tab w:val="left" w:pos="2940" w:leader="none"/>
        </w:tabs>
        <w:ind w:firstLine="709"/>
        <w:jc w:val="both"/>
        <w:rPr/>
      </w:pPr>
      <w:r>
        <w:rPr>
          <w:lang w:val="en-US"/>
        </w:rPr>
        <w:t>n</w:t>
      </w:r>
      <w:r>
        <w:rPr/>
        <w:t xml:space="preserve"> – Количество источников ценовой информации. </w:t>
      </w:r>
    </w:p>
    <w:p>
      <w:pPr>
        <w:pStyle w:val="ListParagraph"/>
        <w:tabs>
          <w:tab w:val="left" w:pos="993" w:leader="none"/>
          <w:tab w:val="left" w:pos="2940" w:leader="none"/>
        </w:tabs>
        <w:ind w:left="0" w:hanging="0"/>
        <w:jc w:val="both"/>
        <w:rPr/>
      </w:pPr>
      <w:r>
        <w:rPr/>
        <w:t xml:space="preserve">           </w:t>
      </w:r>
      <w:r>
        <w:rPr/>
        <w:t xml:space="preserve">24.6.2. Тарифный метод -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pPr>
        <w:pStyle w:val="Normal"/>
        <w:tabs>
          <w:tab w:val="left" w:pos="993" w:leader="none"/>
          <w:tab w:val="left" w:pos="2940" w:leader="none"/>
        </w:tabs>
        <w:ind w:firstLine="709"/>
        <w:jc w:val="both"/>
        <w:rPr/>
      </w:pPr>
      <w:r>
        <w:rPr>
          <w:rFonts w:eastAsia="Lucida Sans Unicode"/>
          <w:color w:val="00000A"/>
        </w:rPr>
        <w:t xml:space="preserve">Определение НМЦД </w:t>
      </w:r>
      <w:r>
        <w:rPr/>
        <w:t>тарифным методом определяется как произведение количества (объем) закупаемого товара (работы, услуги) на цену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pPr>
        <w:pStyle w:val="Normal"/>
        <w:tabs>
          <w:tab w:val="left" w:pos="993" w:leader="none"/>
          <w:tab w:val="left" w:pos="2940" w:leader="none"/>
        </w:tabs>
        <w:jc w:val="both"/>
        <w:rPr/>
      </w:pPr>
      <w:r>
        <w:rPr/>
        <w:t xml:space="preserve">           </w:t>
      </w:r>
      <w:r>
        <w:rPr/>
        <w:t xml:space="preserve">24.6.3.  Проектно-сметный метод - применяется для определения НМЦД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pPr>
        <w:pStyle w:val="ListParagraph"/>
        <w:tabs>
          <w:tab w:val="left" w:pos="993" w:leader="none"/>
          <w:tab w:val="left" w:pos="2940" w:leader="none"/>
        </w:tabs>
        <w:ind w:left="0" w:firstLine="709"/>
        <w:jc w:val="both"/>
        <w:rPr/>
      </w:pPr>
      <w:r>
        <w:rPr/>
        <w:t>Проектно-сметный метод может применяться при определении и обосновании НМЦД на выполнение работ по текущему ремонту зданий, строений, сооружений, помещений.</w:t>
      </w:r>
    </w:p>
    <w:p>
      <w:pPr>
        <w:pStyle w:val="ListParagraph"/>
        <w:tabs>
          <w:tab w:val="left" w:pos="993" w:leader="none"/>
          <w:tab w:val="left" w:pos="2940" w:leader="none"/>
        </w:tabs>
        <w:ind w:left="0" w:firstLine="709"/>
        <w:jc w:val="both"/>
        <w:rPr/>
      </w:pPr>
      <w:r>
        <w:rPr/>
        <w:t xml:space="preserve">Основанием для определения НМЦД является проектная документация (при наличии в соответствии с действующим законодательством) и (или) сметная стоимость работ, разработанная и утвержденная в соответствии с законодательством Российской Федерации. </w:t>
      </w:r>
    </w:p>
    <w:p>
      <w:pPr>
        <w:pStyle w:val="ListParagraph"/>
        <w:tabs>
          <w:tab w:val="left" w:pos="993" w:leader="none"/>
          <w:tab w:val="left" w:pos="2940" w:leader="none"/>
        </w:tabs>
        <w:ind w:left="0" w:hanging="0"/>
        <w:jc w:val="both"/>
        <w:rPr/>
      </w:pPr>
      <w:r>
        <w:rPr/>
        <w:t xml:space="preserve">            </w:t>
      </w:r>
      <w:r>
        <w:rPr/>
        <w:t xml:space="preserve">24.6.4. Затратный метод -применяется в случае невозможности применения иных методов (при наличии обоснования невозможности применения иных методов со стороны Заказчика) и заключается в определении НМЦД как суммы произведенных затрат и обычной для определенной сферы деятельности прибыли. </w:t>
      </w:r>
    </w:p>
    <w:p>
      <w:pPr>
        <w:pStyle w:val="ListParagraph"/>
        <w:tabs>
          <w:tab w:val="left" w:pos="993" w:leader="none"/>
          <w:tab w:val="left" w:pos="2940" w:leader="none"/>
        </w:tabs>
        <w:ind w:left="0" w:firstLine="709"/>
        <w:jc w:val="both"/>
        <w:rPr/>
      </w:pPr>
      <w:r>
        <w:rPr/>
        <w:t xml:space="preserve">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pPr>
        <w:pStyle w:val="ListParagraph"/>
        <w:tabs>
          <w:tab w:val="left" w:pos="993" w:leader="none"/>
          <w:tab w:val="left" w:pos="2940" w:leader="none"/>
        </w:tabs>
        <w:ind w:left="0" w:firstLine="709"/>
        <w:jc w:val="both"/>
        <w:rPr/>
      </w:pPr>
      <w:r>
        <w:rPr/>
        <w:t>Информация об обычной прибыли для определенной сферы деятельности может быть получена заказчиком исходя из анализа договоров,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pPr>
        <w:pStyle w:val="ListParagraph"/>
        <w:tabs>
          <w:tab w:val="left" w:pos="993" w:leader="none"/>
          <w:tab w:val="left" w:pos="2940" w:leader="none"/>
        </w:tabs>
        <w:ind w:left="0" w:hanging="0"/>
        <w:jc w:val="both"/>
        <w:rPr/>
      </w:pPr>
      <w:r>
        <w:rPr/>
        <w:t xml:space="preserve">             </w:t>
      </w:r>
      <w:r>
        <w:rPr/>
        <w:t xml:space="preserve">24.7. В случае, если при заключении договора количество (объем) поставки товаров, выполнения работ, оказания услуг невозможно определить, вместо НМЦД указывается цена единицы товара, работы, услуги (сумма цен единиц товаров, работ, услуг). </w:t>
      </w:r>
    </w:p>
    <w:p>
      <w:pPr>
        <w:pStyle w:val="Normal"/>
        <w:tabs>
          <w:tab w:val="left" w:pos="993" w:leader="none"/>
          <w:tab w:val="left" w:pos="2940" w:leader="none"/>
        </w:tabs>
        <w:jc w:val="both"/>
        <w:rPr/>
      </w:pPr>
      <w:r>
        <w:rPr/>
        <w:t xml:space="preserve">             </w:t>
      </w:r>
      <w:r>
        <w:rPr/>
        <w:t>24.8. НМЦД может выражаться в иностранной валюте.</w:t>
      </w:r>
    </w:p>
    <w:p>
      <w:pPr>
        <w:pStyle w:val="ListParagraph"/>
        <w:tabs>
          <w:tab w:val="left" w:pos="993" w:leader="none"/>
          <w:tab w:val="left" w:pos="2940" w:leader="none"/>
        </w:tabs>
        <w:ind w:left="0" w:hanging="0"/>
        <w:jc w:val="both"/>
        <w:rPr/>
      </w:pPr>
      <w:r>
        <w:rPr/>
        <w:t xml:space="preserve">             </w:t>
      </w:r>
      <w:r>
        <w:rPr/>
        <w:t xml:space="preserve">24.9. Обоснование НМЦД, цены договора, заключаемого с единственным поставщиком (исполнителем, подрядчиком), определения и обоснования цены единицы товара, работы, услуги, определения максимального значения цены договора оформляется в соответствии с формой, установленной локальным актом Заказчика. </w:t>
      </w:r>
    </w:p>
    <w:p>
      <w:pPr>
        <w:pStyle w:val="ListParagraph"/>
        <w:tabs>
          <w:tab w:val="left" w:pos="993" w:leader="none"/>
          <w:tab w:val="left" w:pos="2940" w:leader="none"/>
        </w:tabs>
        <w:ind w:left="0" w:firstLine="709"/>
        <w:jc w:val="both"/>
        <w:rPr/>
      </w:pPr>
      <w:r>
        <w:rPr/>
        <w:t xml:space="preserve"> </w:t>
      </w:r>
      <w:r>
        <w:rPr/>
        <w:t>24.10. 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устанавливается в случае необходимости или в соответствии с действующим законодательством в зависимости от объекта закупки в договоре.</w:t>
      </w:r>
    </w:p>
    <w:p>
      <w:pPr>
        <w:pStyle w:val="ListParagraph"/>
        <w:ind w:left="0" w:firstLine="709"/>
        <w:jc w:val="both"/>
        <w:rPr/>
      </w:pPr>
      <w:r>
        <w:rPr/>
        <w:t xml:space="preserve"> </w:t>
      </w:r>
      <w:r>
        <w:rPr/>
        <w:t>24.11. Определение и обоснование цены договора, заключаемого с единственным поставщиком (исполнителем, подрядчиком), цены единицы товара, работы, услуги, определение максимального значения цены договора осуществляется в порядке, предусмотренном настоящей статьей.</w:t>
      </w:r>
    </w:p>
    <w:p>
      <w:pPr>
        <w:pStyle w:val="ListParagraph"/>
        <w:ind w:left="0" w:firstLine="709"/>
        <w:jc w:val="both"/>
        <w:rPr/>
      </w:pPr>
      <w:r>
        <w:rPr/>
        <w:t xml:space="preserve"> </w:t>
      </w:r>
      <w:r>
        <w:rPr/>
        <w:t>24.12. Результаты определения НМЦД Заказчик вправе использовать для осуществления закупки в течение 6 (шести) месяцев со дня оформления документа по определению НМЦД относительно конкретной закупки.</w:t>
      </w:r>
      <w:bookmarkStart w:id="179" w:name="_Hlk75507090"/>
      <w:bookmarkEnd w:id="179"/>
    </w:p>
    <w:p>
      <w:pPr>
        <w:pStyle w:val="14"/>
        <w:spacing w:lineRule="auto" w:line="240" w:before="0" w:after="0"/>
        <w:ind w:left="720"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108" w:after="108"/>
        <w:ind w:firstLine="567"/>
        <w:jc w:val="center"/>
        <w:rPr>
          <w:b/>
          <w:b/>
          <w:bCs/>
        </w:rPr>
      </w:pPr>
      <w:r>
        <w:rPr>
          <w:b/>
          <w:bCs/>
        </w:rPr>
        <w:t>25. Заключение и исполнение договора</w:t>
      </w:r>
      <w:bookmarkStart w:id="180" w:name="sub_10151"/>
      <w:bookmarkEnd w:id="180"/>
    </w:p>
    <w:p>
      <w:pPr>
        <w:pStyle w:val="Normal"/>
        <w:ind w:firstLine="567"/>
        <w:jc w:val="both"/>
        <w:rPr/>
      </w:pPr>
      <w:r>
        <w:rPr/>
      </w:r>
    </w:p>
    <w:p>
      <w:pPr>
        <w:pStyle w:val="Normal"/>
        <w:ind w:firstLine="567"/>
        <w:jc w:val="both"/>
        <w:rPr/>
      </w:pPr>
      <w:r>
        <w:rPr/>
        <w:t xml:space="preserve">25.1. </w:t>
      </w:r>
      <w:r>
        <w:rPr>
          <w:rFonts w:eastAsia="Calibri"/>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14">
        <w:r>
          <w:rPr>
            <w:rStyle w:val="ListLabel2"/>
            <w:rFonts w:eastAsia="Calibri"/>
          </w:rPr>
          <w:t>частью 2 статьи 4</w:t>
        </w:r>
      </w:hyperlink>
      <w:r>
        <w:rPr>
          <w:rFonts w:eastAsia="Calibri"/>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pPr>
        <w:pStyle w:val="Normal"/>
        <w:ind w:firstLine="567"/>
        <w:jc w:val="both"/>
        <w:rPr/>
      </w:pPr>
      <w:r>
        <w:rPr/>
        <w:t xml:space="preserve"> </w:t>
      </w:r>
      <w:r>
        <w:rPr/>
        <w:t>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pPr>
        <w:pStyle w:val="Normal"/>
        <w:ind w:firstLine="567"/>
        <w:jc w:val="both"/>
        <w:rPr/>
      </w:pPr>
      <w:r>
        <w:rPr/>
        <w:t>25.2.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pPr>
        <w:pStyle w:val="Normal"/>
        <w:ind w:firstLine="567"/>
        <w:jc w:val="both"/>
        <w:rPr/>
      </w:pPr>
      <w:r>
        <w:rPr/>
        <w:t>25.3.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pPr>
        <w:pStyle w:val="Normal"/>
        <w:ind w:firstLine="567"/>
        <w:jc w:val="both"/>
        <w:rPr>
          <w:rFonts w:eastAsia="Calibri"/>
        </w:rPr>
      </w:pPr>
      <w:r>
        <w:rPr/>
        <w:t xml:space="preserve">25.4. </w:t>
      </w:r>
      <w:r>
        <w:rPr>
          <w:rFonts w:eastAsia="Calibri"/>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pPr>
        <w:pStyle w:val="Normal"/>
        <w:ind w:firstLine="567"/>
        <w:jc w:val="both"/>
        <w:rPr>
          <w:rFonts w:eastAsia="Calibri"/>
        </w:rPr>
      </w:pPr>
      <w:r>
        <w:rPr>
          <w:rFonts w:eastAsia="Calibri"/>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pPr>
        <w:pStyle w:val="Normal"/>
        <w:spacing w:before="0" w:after="0"/>
        <w:ind w:firstLine="567"/>
        <w:contextualSpacing/>
        <w:jc w:val="both"/>
        <w:rPr>
          <w:rFonts w:eastAsia="Calibri"/>
        </w:rPr>
      </w:pPr>
      <w:r>
        <w:rPr>
          <w:rFonts w:eastAsia="Calibri"/>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pPr>
        <w:pStyle w:val="Normal"/>
        <w:ind w:firstLine="567"/>
        <w:jc w:val="both"/>
        <w:rPr>
          <w:rFonts w:eastAsia="Calibri"/>
        </w:rPr>
      </w:pPr>
      <w:r>
        <w:rPr/>
        <w:t>25.5.</w:t>
      </w:r>
      <w:r>
        <w:rPr>
          <w:rFonts w:eastAsia="Calibri"/>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pPr>
        <w:pStyle w:val="Normal"/>
        <w:spacing w:before="0" w:after="0"/>
        <w:ind w:firstLine="567"/>
        <w:contextualSpacing/>
        <w:jc w:val="both"/>
        <w:rPr>
          <w:rFonts w:eastAsia="Calibri"/>
        </w:rPr>
      </w:pPr>
      <w:r>
        <w:rPr/>
        <w:t>25</w:t>
      </w:r>
      <w:r>
        <w:rPr>
          <w:rFonts w:eastAsia="Calibri"/>
        </w:rPr>
        <w:t>.5.1. 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pPr>
        <w:pStyle w:val="Normal"/>
        <w:spacing w:before="0" w:after="0"/>
        <w:ind w:firstLine="567"/>
        <w:contextualSpacing/>
        <w:jc w:val="both"/>
        <w:rPr>
          <w:rFonts w:eastAsia="Calibri"/>
        </w:rPr>
      </w:pPr>
      <w:r>
        <w:rPr/>
        <w:t>25</w:t>
      </w:r>
      <w:r>
        <w:rPr>
          <w:rFonts w:eastAsia="Calibri"/>
        </w:rPr>
        <w:t>.5.1.1.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pPr>
        <w:pStyle w:val="Normal"/>
        <w:spacing w:before="0" w:after="0"/>
        <w:ind w:firstLine="567"/>
        <w:contextualSpacing/>
        <w:jc w:val="both"/>
        <w:rPr>
          <w:rFonts w:eastAsia="Calibri"/>
        </w:rPr>
      </w:pPr>
      <w:r>
        <w:rPr/>
        <w:t xml:space="preserve">25.5.2. </w:t>
      </w:r>
      <w:r>
        <w:rPr>
          <w:rFonts w:eastAsia="Calibri"/>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pPr>
        <w:pStyle w:val="Normal"/>
        <w:spacing w:before="0" w:after="0"/>
        <w:ind w:firstLine="567"/>
        <w:contextualSpacing/>
        <w:jc w:val="both"/>
        <w:rPr>
          <w:rFonts w:eastAsia="Calibri"/>
        </w:rPr>
      </w:pPr>
      <w:r>
        <w:rPr>
          <w:rFonts w:eastAsia="Calibri"/>
        </w:rPr>
        <w:t>1) место, дату и время составления протокола;</w:t>
      </w:r>
    </w:p>
    <w:p>
      <w:pPr>
        <w:pStyle w:val="Normal"/>
        <w:spacing w:before="0" w:after="0"/>
        <w:ind w:firstLine="567"/>
        <w:contextualSpacing/>
        <w:jc w:val="both"/>
        <w:rPr>
          <w:rFonts w:eastAsia="Calibri"/>
        </w:rPr>
      </w:pPr>
      <w:r>
        <w:rPr>
          <w:rFonts w:eastAsia="Calibri"/>
        </w:rPr>
        <w:t>2) наименование предмета закупки и номер закупки;</w:t>
      </w:r>
    </w:p>
    <w:p>
      <w:pPr>
        <w:pStyle w:val="Normal"/>
        <w:spacing w:before="0" w:after="0"/>
        <w:ind w:firstLine="567"/>
        <w:contextualSpacing/>
        <w:jc w:val="both"/>
        <w:rPr>
          <w:rFonts w:eastAsia="Calibri"/>
        </w:rPr>
      </w:pPr>
      <w:r>
        <w:rPr>
          <w:rFonts w:eastAsia="Calibri"/>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pPr>
        <w:pStyle w:val="Normal"/>
        <w:spacing w:before="0" w:after="0"/>
        <w:ind w:firstLine="567"/>
        <w:contextualSpacing/>
        <w:jc w:val="both"/>
        <w:rPr>
          <w:rFonts w:eastAsia="Calibri"/>
        </w:rPr>
      </w:pPr>
      <w:r>
        <w:rPr>
          <w:rFonts w:eastAsia="Calibri"/>
        </w:rPr>
        <w:t>Подписанный участником закупки протокол в тот же день направляется Заказчику.</w:t>
      </w:r>
    </w:p>
    <w:p>
      <w:pPr>
        <w:pStyle w:val="Normal"/>
        <w:spacing w:before="0" w:after="0"/>
        <w:ind w:firstLine="567"/>
        <w:contextualSpacing/>
        <w:jc w:val="both"/>
        <w:rPr/>
      </w:pPr>
      <w:r>
        <w:rPr/>
        <w:t>25</w:t>
      </w:r>
      <w:r>
        <w:rPr>
          <w:rFonts w:eastAsia="Calibri"/>
        </w:rPr>
        <w:t xml:space="preserve">.5.2.1. 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r:id="rId115">
        <w:r>
          <w:rPr>
            <w:rStyle w:val="ListLabel2"/>
            <w:rFonts w:eastAsia="Calibri"/>
          </w:rPr>
          <w:t xml:space="preserve">п. </w:t>
        </w:r>
      </w:hyperlink>
      <w:r>
        <w:rPr>
          <w:rFonts w:eastAsia="Calibri"/>
        </w:rPr>
        <w:t>3.4 настоящего Положения.</w:t>
      </w:r>
    </w:p>
    <w:p>
      <w:pPr>
        <w:pStyle w:val="Normal"/>
        <w:spacing w:before="0" w:after="0"/>
        <w:ind w:firstLine="567"/>
        <w:contextualSpacing/>
        <w:jc w:val="both"/>
        <w:rPr>
          <w:rFonts w:eastAsia="Calibri"/>
        </w:rPr>
      </w:pPr>
      <w:r>
        <w:rPr>
          <w:rFonts w:eastAsia="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pPr>
        <w:pStyle w:val="Normal"/>
        <w:ind w:firstLine="567"/>
        <w:jc w:val="both"/>
        <w:rPr>
          <w:rFonts w:eastAsia="Calibri"/>
        </w:rPr>
      </w:pPr>
      <w:r>
        <w:rPr>
          <w:rFonts w:eastAsia="Calibri"/>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pPr>
        <w:pStyle w:val="Normal"/>
        <w:spacing w:before="0" w:after="0"/>
        <w:ind w:firstLine="567"/>
        <w:contextualSpacing/>
        <w:jc w:val="both"/>
        <w:rPr/>
      </w:pPr>
      <w:r>
        <w:rPr/>
        <w:t>25.5.3. Победитель, иной участник считаются уклонившимися от заключения договора:</w:t>
      </w:r>
    </w:p>
    <w:p>
      <w:pPr>
        <w:pStyle w:val="Normal"/>
        <w:spacing w:before="0" w:after="0"/>
        <w:ind w:firstLine="567"/>
        <w:contextualSpacing/>
        <w:jc w:val="both"/>
        <w:rPr/>
      </w:pPr>
      <w:r>
        <w:rPr/>
        <w:t>- в случае непредставления подписанного договора победителем, иным участником, с которым заключается договор в сроки, указанные в документации о закупке;</w:t>
      </w:r>
    </w:p>
    <w:p>
      <w:pPr>
        <w:pStyle w:val="Normal"/>
        <w:spacing w:before="0" w:after="0"/>
        <w:ind w:firstLine="567"/>
        <w:contextualSpacing/>
        <w:jc w:val="both"/>
        <w:rPr/>
      </w:pPr>
      <w:r>
        <w:rPr/>
        <w:t>-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w:t>
      </w:r>
    </w:p>
    <w:p>
      <w:pPr>
        <w:pStyle w:val="Normal"/>
        <w:spacing w:before="0" w:after="0"/>
        <w:ind w:firstLine="567"/>
        <w:contextualSpacing/>
        <w:jc w:val="both"/>
        <w:rPr/>
      </w:pPr>
      <w:r>
        <w:rPr/>
        <w:t>- в случае непредставления победителем, иным участником, с которым заключается договор,</w:t>
      </w:r>
      <w:r>
        <w:rPr>
          <w:rFonts w:eastAsia="Calibri"/>
        </w:rPr>
        <w:t xml:space="preserve"> сведений о цепочке собственников, включая бенефициаров (в том числе конечных), и документы, подтверждающие данные сведения, если требование о представлении таких сведений и документов установлено документацией о закупке.</w:t>
      </w:r>
    </w:p>
    <w:p>
      <w:pPr>
        <w:pStyle w:val="Normal"/>
        <w:spacing w:before="0" w:after="0"/>
        <w:ind w:firstLine="567"/>
        <w:contextualSpacing/>
        <w:jc w:val="both"/>
        <w:rPr/>
      </w:pPr>
      <w:r>
        <w:rPr/>
        <w:t xml:space="preserve">25.5.4. </w:t>
      </w:r>
      <w:r>
        <w:rPr>
          <w:rFonts w:eastAsia="Calibri"/>
        </w:rPr>
        <w:t xml:space="preserve">Не позднее одного рабочего дня, следующего за днем, когда установлены факты, предусмотренные в </w:t>
      </w:r>
      <w:hyperlink w:anchor="Par8">
        <w:r>
          <w:rPr>
            <w:rStyle w:val="ListLabel2"/>
            <w:rFonts w:eastAsia="Calibri"/>
          </w:rPr>
          <w:t xml:space="preserve">п. </w:t>
        </w:r>
      </w:hyperlink>
      <w:r>
        <w:rPr>
          <w:rFonts w:eastAsia="Calibri"/>
        </w:rPr>
        <w:t>24.5.3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pPr>
        <w:pStyle w:val="Normal"/>
        <w:spacing w:before="0" w:after="0"/>
        <w:ind w:firstLine="567"/>
        <w:contextualSpacing/>
        <w:jc w:val="both"/>
        <w:rPr>
          <w:rFonts w:eastAsia="Calibri"/>
        </w:rPr>
      </w:pPr>
      <w:r>
        <w:rPr>
          <w:rFonts w:eastAsia="Calibri"/>
        </w:rPr>
        <w:t>1) место, дата и время составления протокола;</w:t>
      </w:r>
    </w:p>
    <w:p>
      <w:pPr>
        <w:pStyle w:val="Normal"/>
        <w:spacing w:before="0" w:after="0"/>
        <w:ind w:firstLine="567"/>
        <w:contextualSpacing/>
        <w:jc w:val="both"/>
        <w:rPr>
          <w:rFonts w:eastAsia="Calibri"/>
        </w:rPr>
      </w:pPr>
      <w:r>
        <w:rPr>
          <w:rFonts w:eastAsia="Calibri"/>
        </w:rPr>
        <w:t>2) наименование лица, которое уклонилось от заключения договора;</w:t>
      </w:r>
    </w:p>
    <w:p>
      <w:pPr>
        <w:pStyle w:val="Normal"/>
        <w:spacing w:before="0" w:after="0"/>
        <w:ind w:firstLine="567"/>
        <w:contextualSpacing/>
        <w:jc w:val="both"/>
        <w:rPr>
          <w:rFonts w:eastAsia="Calibri"/>
        </w:rPr>
      </w:pPr>
      <w:r>
        <w:rPr>
          <w:rFonts w:eastAsia="Calibri"/>
        </w:rPr>
        <w:t>3) факты, на основании которых лицо признано уклонившимся от заключения договора.</w:t>
      </w:r>
    </w:p>
    <w:p>
      <w:pPr>
        <w:pStyle w:val="Normal"/>
        <w:spacing w:before="0" w:after="0"/>
        <w:ind w:firstLine="567"/>
        <w:contextualSpacing/>
        <w:jc w:val="both"/>
        <w:rPr/>
      </w:pPr>
      <w:r>
        <w:rPr>
          <w:rFonts w:eastAsia="Calibri"/>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уклонившемуся от заключения договора.</w:t>
      </w:r>
      <w:r>
        <w:rPr/>
        <w:t xml:space="preserve"> </w:t>
      </w:r>
    </w:p>
    <w:p>
      <w:pPr>
        <w:pStyle w:val="Normal"/>
        <w:spacing w:before="0" w:after="0"/>
        <w:ind w:firstLine="567"/>
        <w:contextualSpacing/>
        <w:jc w:val="both"/>
        <w:rPr/>
      </w:pPr>
      <w:r>
        <w:rPr/>
        <w:t xml:space="preserve">25.5.4. </w:t>
      </w:r>
      <w:r>
        <w:rPr>
          <w:rFonts w:eastAsia="Calibri"/>
        </w:rPr>
        <w:t xml:space="preserve">В случае когда участник закупки признан победителем закупки, но отстранен от участия в ней в соответствии с </w:t>
      </w:r>
      <w:hyperlink r:id="rId116">
        <w:r>
          <w:rPr>
            <w:rStyle w:val="ListLabel2"/>
            <w:rFonts w:eastAsia="Calibri"/>
          </w:rPr>
          <w:t xml:space="preserve">п. </w:t>
        </w:r>
      </w:hyperlink>
      <w:r>
        <w:rPr>
          <w:rFonts w:eastAsia="Calibri"/>
        </w:rPr>
        <w:t>8.2.3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pPr>
        <w:pStyle w:val="Normal"/>
        <w:spacing w:before="0" w:after="0"/>
        <w:ind w:firstLine="567"/>
        <w:contextualSpacing/>
        <w:jc w:val="both"/>
        <w:rPr>
          <w:rFonts w:eastAsia="Calibri"/>
        </w:rPr>
      </w:pPr>
      <w:r>
        <w:rPr>
          <w:rFonts w:eastAsia="Calibri"/>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pPr>
        <w:pStyle w:val="Normal"/>
        <w:spacing w:before="0" w:after="0"/>
        <w:ind w:firstLine="567"/>
        <w:contextualSpacing/>
        <w:jc w:val="both"/>
        <w:rPr>
          <w:rFonts w:eastAsia="Calibri"/>
        </w:rPr>
      </w:pPr>
      <w:r>
        <w:rPr>
          <w:rFonts w:eastAsia="Calibri"/>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pPr>
        <w:pStyle w:val="Normal"/>
        <w:spacing w:before="0" w:after="0"/>
        <w:ind w:firstLine="567"/>
        <w:contextualSpacing/>
        <w:jc w:val="both"/>
        <w:rPr>
          <w:rFonts w:eastAsia="Calibri"/>
        </w:rPr>
      </w:pPr>
      <w:r>
        <w:rPr>
          <w:rFonts w:eastAsia="Calibri"/>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pPr>
        <w:pStyle w:val="Normal"/>
        <w:spacing w:before="0" w:after="0"/>
        <w:ind w:firstLine="567"/>
        <w:contextualSpacing/>
        <w:jc w:val="both"/>
        <w:rPr>
          <w:rFonts w:eastAsia="Calibri"/>
        </w:rPr>
      </w:pPr>
      <w:r>
        <w:rPr>
          <w:rFonts w:eastAsia="Calibri"/>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pPr>
        <w:pStyle w:val="Normal"/>
        <w:spacing w:before="0" w:after="0"/>
        <w:ind w:firstLine="567"/>
        <w:contextualSpacing/>
        <w:jc w:val="both"/>
        <w:rPr>
          <w:rFonts w:eastAsia="Calibri"/>
        </w:rPr>
      </w:pPr>
      <w:r>
        <w:rPr>
          <w:rFonts w:eastAsia="Calibri"/>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pPr>
        <w:pStyle w:val="Normal"/>
        <w:spacing w:before="0" w:after="0"/>
        <w:ind w:firstLine="567"/>
        <w:contextualSpacing/>
        <w:jc w:val="both"/>
        <w:rPr/>
      </w:pPr>
      <w:r>
        <w:rPr/>
        <w:t>25.6.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pPr>
        <w:pStyle w:val="Normal"/>
        <w:spacing w:before="0" w:after="0"/>
        <w:ind w:firstLine="567"/>
        <w:contextualSpacing/>
        <w:jc w:val="both"/>
        <w:rPr/>
      </w:pPr>
      <w:r>
        <w:rPr/>
        <w:t>25.7.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pPr>
        <w:pStyle w:val="Normal"/>
        <w:spacing w:before="0" w:after="0"/>
        <w:ind w:firstLine="567"/>
        <w:contextualSpacing/>
        <w:jc w:val="both"/>
        <w:rPr/>
      </w:pPr>
      <w:r>
        <w:rPr/>
        <w:t>25.7.1.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pPr>
        <w:pStyle w:val="Normal"/>
        <w:spacing w:before="0" w:after="0"/>
        <w:ind w:firstLine="567"/>
        <w:contextualSpacing/>
        <w:jc w:val="both"/>
        <w:rPr/>
      </w:pPr>
      <w:r>
        <w:rPr/>
        <w:t>25.7.2. приостановления деятельности участника закупки в порядке, предусмотренном Кодексом Российской Федерации об административных правонарушениях;</w:t>
      </w:r>
    </w:p>
    <w:p>
      <w:pPr>
        <w:pStyle w:val="Normal"/>
        <w:spacing w:before="0" w:after="0"/>
        <w:ind w:firstLine="567"/>
        <w:contextualSpacing/>
        <w:jc w:val="both"/>
        <w:rPr/>
      </w:pPr>
      <w:r>
        <w:rPr/>
        <w:t>25.7.3. предоставления участником закупки заведомо ложных сведений, содержащихся в представленных ими документах;</w:t>
      </w:r>
    </w:p>
    <w:p>
      <w:pPr>
        <w:pStyle w:val="Normal"/>
        <w:spacing w:before="0" w:after="0"/>
        <w:ind w:firstLine="567"/>
        <w:contextualSpacing/>
        <w:jc w:val="both"/>
        <w:rPr/>
      </w:pPr>
      <w:r>
        <w:rPr/>
        <w:t>25.7.4. нахождения имущества участника закупки под арестом, наложенным по решению суда;</w:t>
      </w:r>
    </w:p>
    <w:p>
      <w:pPr>
        <w:pStyle w:val="Normal"/>
        <w:spacing w:before="0" w:after="0"/>
        <w:ind w:firstLine="567"/>
        <w:contextualSpacing/>
        <w:jc w:val="both"/>
        <w:rPr/>
      </w:pPr>
      <w:r>
        <w:rPr/>
        <w:t>25.7.5.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pPr>
        <w:pStyle w:val="Normal"/>
        <w:spacing w:before="0" w:after="0"/>
        <w:ind w:firstLine="567"/>
        <w:contextualSpacing/>
        <w:jc w:val="both"/>
        <w:rPr/>
      </w:pPr>
      <w:r>
        <w:rPr/>
        <w:t>25.8. При заключении договора заказчик может увеличить количество поставляемого товара, если указание на это содержалось в документации о закупке.</w:t>
      </w:r>
    </w:p>
    <w:p>
      <w:pPr>
        <w:pStyle w:val="Normal"/>
        <w:spacing w:before="0" w:after="0"/>
        <w:ind w:firstLine="567"/>
        <w:contextualSpacing/>
        <w:jc w:val="both"/>
        <w:rPr/>
      </w:pPr>
      <w:r>
        <w:rPr/>
        <w:t>25.9.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pPr>
        <w:pStyle w:val="Normal"/>
        <w:spacing w:before="0" w:after="0"/>
        <w:ind w:firstLine="567"/>
        <w:contextualSpacing/>
        <w:jc w:val="both"/>
        <w:rPr/>
      </w:pPr>
      <w:r>
        <w:rPr/>
        <w:t>25.9.1.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pPr>
        <w:pStyle w:val="Normal"/>
        <w:spacing w:before="0" w:after="0"/>
        <w:ind w:firstLine="567"/>
        <w:contextualSpacing/>
        <w:jc w:val="both"/>
        <w:rPr/>
      </w:pPr>
      <w:r>
        <w:rPr/>
        <w:t>25.9.2. Обязательства сторон по договору прекращаются по окончании срока его действия.</w:t>
      </w:r>
      <w:bookmarkStart w:id="181" w:name="_Hlk43824390"/>
      <w:bookmarkEnd w:id="181"/>
    </w:p>
    <w:p>
      <w:pPr>
        <w:pStyle w:val="Normal"/>
        <w:spacing w:before="0" w:after="0"/>
        <w:ind w:firstLine="567"/>
        <w:contextualSpacing/>
        <w:jc w:val="both"/>
        <w:rPr/>
      </w:pPr>
      <w:r>
        <w:rPr/>
        <w:t>25.10.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pPr>
        <w:pStyle w:val="Normal"/>
        <w:spacing w:before="0" w:after="0"/>
        <w:ind w:firstLine="567"/>
        <w:contextualSpacing/>
        <w:jc w:val="both"/>
        <w:rPr/>
      </w:pPr>
      <w:r>
        <w:rPr/>
        <w:t>25.11.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pPr>
        <w:pStyle w:val="Normal"/>
        <w:ind w:firstLine="567"/>
        <w:jc w:val="both"/>
        <w:rPr/>
      </w:pPr>
      <w:r>
        <w:rPr/>
        <w:t>25.11.1.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изменить цену договора указанным образом.</w:t>
      </w:r>
    </w:p>
    <w:p>
      <w:pPr>
        <w:pStyle w:val="Normal"/>
        <w:ind w:firstLine="567"/>
        <w:jc w:val="both"/>
        <w:rPr/>
      </w:pPr>
      <w:r>
        <w:rPr/>
        <w:t>25.11.2.  В случае, если по окончанию сроков поставок товаров, не выбран объем поставляемого товара и (или) объем денежных средств, установленных договором, Заказчик, по согласованию с контрагентом, вправе продлять сроки поставок и(или) сроки действия по таким договорам   пропорционально остаточному объему поставляемых товаров и (или) объему денежных средств. Заказчик вправе продлять сроки поставок и(или) сроки действия по договорам, заключенным только по результатам всех способов закупок, установленных настоящим Положением, но не более одного раза по договорам, заключенным по результатам неконкурентных закупок.</w:t>
      </w:r>
      <w:bookmarkStart w:id="182" w:name="_Hlk121817234"/>
      <w:bookmarkEnd w:id="182"/>
    </w:p>
    <w:p>
      <w:pPr>
        <w:pStyle w:val="Normal"/>
        <w:ind w:firstLine="567"/>
        <w:jc w:val="both"/>
        <w:rPr/>
      </w:pPr>
      <w:r>
        <w:rPr/>
        <w:t>25.12.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в единой информационной системе размещается информация об изменении договора с указанием измененных условий.</w:t>
      </w:r>
    </w:p>
    <w:p>
      <w:pPr>
        <w:pStyle w:val="Normal"/>
        <w:ind w:firstLine="567"/>
        <w:jc w:val="both"/>
        <w:rPr/>
      </w:pPr>
      <w:r>
        <w:rPr/>
        <w:t>25.13. В случае невозможности установления всех существенных условий возможно заключение рамочного договора.</w:t>
      </w:r>
    </w:p>
    <w:p>
      <w:pPr>
        <w:pStyle w:val="ConsPlusNormal2"/>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pPr>
        <w:pStyle w:val="ConsPlusNormal2"/>
        <w:ind w:firstLine="567"/>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 отношениям сторон, не урегулированным отдельными договорами, в том числе в случае не 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pPr>
        <w:pStyle w:val="Normal"/>
        <w:ind w:firstLine="567"/>
        <w:jc w:val="both"/>
        <w:rPr/>
      </w:pPr>
      <w:r>
        <w:rPr/>
        <w:t>25.14. При заключении договора с единственным поставщиком (исполнителем, подрядчиком) руководствоваться пунктом 25. настоящего Положения о закупке.</w:t>
      </w:r>
    </w:p>
    <w:p>
      <w:pPr>
        <w:pStyle w:val="Normal"/>
        <w:spacing w:before="0" w:after="0"/>
        <w:ind w:firstLine="567"/>
        <w:contextualSpacing/>
        <w:jc w:val="both"/>
        <w:rPr/>
      </w:pPr>
      <w:bookmarkStart w:id="183" w:name="Par8"/>
      <w:bookmarkEnd w:id="183"/>
      <w:r>
        <w:rPr/>
        <w:t>25</w:t>
      </w:r>
      <w:r>
        <w:rPr>
          <w:rFonts w:eastAsia="Calibri"/>
        </w:rPr>
        <w:t xml:space="preserve">.15.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17">
        <w:r>
          <w:rPr>
            <w:rStyle w:val="ListLabel2"/>
            <w:rFonts w:eastAsia="Calibri"/>
          </w:rPr>
          <w:t>частью 15 статьи 4</w:t>
        </w:r>
      </w:hyperlink>
      <w:r>
        <w:rPr>
          <w:rFonts w:eastAsia="Calibri"/>
        </w:rPr>
        <w:t xml:space="preserve"> настоящего Федерального закона, заказчики </w:t>
      </w:r>
      <w:hyperlink r:id="rId118">
        <w:r>
          <w:rPr>
            <w:rStyle w:val="ListLabel2"/>
            <w:rFonts w:eastAsia="Calibri"/>
          </w:rPr>
          <w:t>вносят</w:t>
        </w:r>
      </w:hyperlink>
      <w:r>
        <w:rPr>
          <w:rFonts w:eastAsia="Calibri"/>
        </w:rPr>
        <w:t xml:space="preserve"> информацию и документы, установленные Правительством Российской Федерации в соответствии с </w:t>
      </w:r>
      <w:hyperlink r:id="rId119">
        <w:r>
          <w:rPr>
            <w:rStyle w:val="ListLabel2"/>
            <w:rFonts w:eastAsia="Calibri"/>
          </w:rPr>
          <w:t>частью 1</w:t>
        </w:r>
      </w:hyperlink>
      <w:r>
        <w:rPr>
          <w:rFonts w:eastAsia="Calibri"/>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pPr>
        <w:pStyle w:val="Normal"/>
        <w:spacing w:before="0" w:after="0"/>
        <w:ind w:firstLine="567"/>
        <w:contextualSpacing/>
        <w:jc w:val="both"/>
        <w:rPr/>
      </w:pPr>
      <w:r>
        <w:rPr/>
        <w:t>25</w:t>
      </w:r>
      <w:r>
        <w:rPr>
          <w:rFonts w:eastAsia="Calibri"/>
        </w:rPr>
        <w:t xml:space="preserve">.16. В реестр договоров не вносятся сведения и документы, которые в соответствии с настоящим Федеральным </w:t>
      </w:r>
      <w:hyperlink r:id="rId120">
        <w:r>
          <w:rPr>
            <w:rStyle w:val="ListLabel2"/>
            <w:rFonts w:eastAsia="Calibri"/>
          </w:rPr>
          <w:t>законом</w:t>
        </w:r>
      </w:hyperlink>
      <w:r>
        <w:rPr>
          <w:rFonts w:eastAsia="Calibri"/>
        </w:rPr>
        <w:t xml:space="preserve"> не подлежат размещению в единой информационной системе.</w:t>
      </w:r>
    </w:p>
    <w:p>
      <w:pPr>
        <w:pStyle w:val="Normal"/>
        <w:shd w:val="clear" w:color="auto" w:fill="FFFFFF"/>
        <w:ind w:firstLine="567"/>
        <w:jc w:val="both"/>
        <w:rPr>
          <w:color w:val="000000"/>
        </w:rPr>
      </w:pPr>
      <w:r>
        <w:rPr>
          <w:rFonts w:eastAsia="Calibri"/>
        </w:rPr>
        <w:t xml:space="preserve">25.17. </w:t>
      </w:r>
      <w:r>
        <w:rPr>
          <w:rFonts w:eastAsia="Calibri" w:eastAsiaTheme="minorHAnsi"/>
          <w:lang w:eastAsia="en-US"/>
        </w:rPr>
        <w:t xml:space="preserve">Срок оплаты поставленного товара, выполненной работы (ее результатов), оказанной услуги не может превышать максимально установленный </w:t>
      </w:r>
      <w:r>
        <w:rPr/>
        <w:t xml:space="preserve">Федеральным законом № 223-ФЗ, за исключением случаев, предусмотренных Перечнем товаров, работ, услуг, при осуществлении закупок которых применяются иные сроки оплаты (Приложение № 3 </w:t>
      </w:r>
      <w:r>
        <w:rPr>
          <w:color w:val="000000"/>
        </w:rPr>
        <w:t>к Положению).</w:t>
      </w:r>
    </w:p>
    <w:p>
      <w:pPr>
        <w:pStyle w:val="Normal"/>
        <w:shd w:val="clear" w:color="auto" w:fill="FFFFFF"/>
        <w:ind w:firstLine="567"/>
        <w:jc w:val="both"/>
        <w:rPr>
          <w:b/>
          <w:b/>
          <w:bCs/>
        </w:rPr>
      </w:pPr>
      <w:r>
        <w:rPr>
          <w:color w:val="000000"/>
        </w:rPr>
        <w:t>25.18. Положения п. 25.17. применяются к закупкам товаров, работ, услуг, осуществленным любым способом закупки, установленным настоящем Положением.</w:t>
      </w:r>
      <w:bookmarkStart w:id="184" w:name="_Hlk101774905"/>
      <w:bookmarkStart w:id="185" w:name="_Hlk101774596"/>
      <w:bookmarkEnd w:id="184"/>
      <w:bookmarkEnd w:id="185"/>
    </w:p>
    <w:p>
      <w:pPr>
        <w:pStyle w:val="Normal"/>
        <w:suppressAutoHyphens w:val="false"/>
        <w:ind w:firstLine="567"/>
        <w:jc w:val="both"/>
        <w:rPr>
          <w:rFonts w:eastAsia="Calibri"/>
        </w:rPr>
      </w:pPr>
      <w:r>
        <w:rPr>
          <w:rFonts w:eastAsia="Calibri"/>
        </w:rPr>
      </w:r>
    </w:p>
    <w:p>
      <w:pPr>
        <w:pStyle w:val="Normal"/>
        <w:tabs>
          <w:tab w:val="left" w:pos="945" w:leader="none"/>
        </w:tabs>
        <w:jc w:val="center"/>
        <w:rPr/>
      </w:pPr>
      <w:bookmarkStart w:id="186" w:name="sub_55211"/>
      <w:bookmarkEnd w:id="186"/>
      <w:r>
        <w:rPr>
          <w:b/>
        </w:rPr>
        <w:t>26. Заключительные положения</w:t>
      </w:r>
      <w:bookmarkStart w:id="187" w:name="_Hlk533592572"/>
      <w:bookmarkEnd w:id="187"/>
    </w:p>
    <w:p>
      <w:pPr>
        <w:pStyle w:val="Normal"/>
        <w:ind w:firstLine="720"/>
        <w:jc w:val="both"/>
        <w:rPr/>
      </w:pPr>
      <w:r>
        <w:rPr/>
      </w:r>
    </w:p>
    <w:p>
      <w:pPr>
        <w:pStyle w:val="Normal"/>
        <w:spacing w:before="0" w:after="0"/>
        <w:ind w:firstLine="567"/>
        <w:contextualSpacing/>
        <w:jc w:val="both"/>
        <w:rPr/>
      </w:pPr>
      <w:r>
        <w:rPr/>
        <w:t xml:space="preserve">26.1. </w:t>
      </w:r>
      <w:r>
        <w:rPr>
          <w:rFonts w:eastAsia="Calibri"/>
        </w:rPr>
        <w:t xml:space="preserve">Любой участник закупки вправе обжаловать в антимонопольном органе в порядке, установленном </w:t>
      </w:r>
      <w:hyperlink r:id="rId121">
        <w:r>
          <w:rPr>
            <w:rStyle w:val="ListLabel2"/>
            <w:rFonts w:eastAsia="Calibri"/>
          </w:rPr>
          <w:t>статьей 18.1</w:t>
        </w:r>
      </w:hyperlink>
      <w:r>
        <w:rPr>
          <w:rFonts w:eastAsia="Calibri"/>
        </w:rPr>
        <w:t xml:space="preserve"> Федерального закона от 26 июля 2006 года N 135-ФЗ "О защите конкуренции", с учетом особенностей, установленных статьей 3 </w:t>
      </w:r>
      <w:r>
        <w:rPr/>
        <w:t>Федерального закона № 223-ФЗ</w:t>
      </w:r>
      <w:r>
        <w:rPr>
          <w:rFonts w:eastAsia="Calibri"/>
        </w:rPr>
        <w:t>, действия (бездействие) заказчика, комиссии по закупкам,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pPr>
        <w:pStyle w:val="Normal"/>
        <w:spacing w:before="0" w:after="0"/>
        <w:ind w:firstLine="567"/>
        <w:contextualSpacing/>
        <w:jc w:val="both"/>
        <w:rPr>
          <w:rFonts w:eastAsia="Calibri"/>
        </w:rPr>
      </w:pPr>
      <w:r>
        <w:rPr>
          <w:rFonts w:eastAsia="Calibri"/>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pPr>
        <w:pStyle w:val="Normal"/>
        <w:spacing w:before="0" w:after="0"/>
        <w:ind w:firstLine="567"/>
        <w:contextualSpacing/>
        <w:jc w:val="both"/>
        <w:rPr>
          <w:rFonts w:eastAsia="Calibri"/>
        </w:rPr>
      </w:pPr>
      <w:r>
        <w:rPr>
          <w:rFonts w:eastAsia="Calibri"/>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pPr>
        <w:pStyle w:val="Normal"/>
        <w:spacing w:before="0" w:after="0"/>
        <w:ind w:firstLine="567"/>
        <w:contextualSpacing/>
        <w:jc w:val="both"/>
        <w:rPr>
          <w:rFonts w:eastAsia="Calibri"/>
        </w:rPr>
      </w:pPr>
      <w:r>
        <w:rPr>
          <w:rFonts w:eastAsia="Calibri"/>
        </w:rP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pPr>
        <w:pStyle w:val="Normal"/>
        <w:spacing w:before="0" w:after="0"/>
        <w:ind w:firstLine="567"/>
        <w:contextualSpacing/>
        <w:jc w:val="both"/>
        <w:rPr>
          <w:rFonts w:eastAsia="Calibri"/>
        </w:rPr>
      </w:pPr>
      <w:r>
        <w:rPr>
          <w:rFonts w:eastAsia="Calibri"/>
        </w:rPr>
        <w:t>4) предъявление к участникам закупки требований, не предусмотренных документацией о конкурентной закупке;</w:t>
      </w:r>
    </w:p>
    <w:p>
      <w:pPr>
        <w:pStyle w:val="Normal"/>
        <w:spacing w:before="0" w:after="0"/>
        <w:ind w:firstLine="567"/>
        <w:contextualSpacing/>
        <w:jc w:val="both"/>
        <w:rPr/>
      </w:pPr>
      <w:r>
        <w:rPr>
          <w:rFonts w:eastAsia="Calibri"/>
        </w:rP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22">
        <w:r>
          <w:rPr>
            <w:rStyle w:val="ListLabel2"/>
            <w:rFonts w:eastAsia="Calibri"/>
          </w:rPr>
          <w:t>закона</w:t>
        </w:r>
      </w:hyperlink>
      <w:r>
        <w:rPr>
          <w:rFonts w:eastAsia="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123">
        <w:r>
          <w:rPr>
            <w:rStyle w:val="ListLabel2"/>
            <w:rFonts w:eastAsia="Calibri"/>
          </w:rPr>
          <w:t>частью 8.1</w:t>
        </w:r>
      </w:hyperlink>
      <w:r>
        <w:rPr>
          <w:rFonts w:eastAsia="Calibri"/>
        </w:rPr>
        <w:t xml:space="preserve"> настоящей статьи, </w:t>
      </w:r>
      <w:hyperlink r:id="rId124">
        <w:r>
          <w:rPr>
            <w:rStyle w:val="ListLabel2"/>
            <w:rFonts w:eastAsia="Calibri"/>
          </w:rPr>
          <w:t>частью 5 статьи 8</w:t>
        </w:r>
      </w:hyperlink>
      <w:r>
        <w:rPr>
          <w:rFonts w:eastAsia="Calibri"/>
        </w:rPr>
        <w:t xml:space="preserve"> настоящего Федерального закона, включая нарушение порядка применения указанных положений;</w:t>
      </w:r>
    </w:p>
    <w:p>
      <w:pPr>
        <w:pStyle w:val="Normal"/>
        <w:spacing w:before="0" w:after="0"/>
        <w:ind w:firstLine="567"/>
        <w:contextualSpacing/>
        <w:jc w:val="both"/>
        <w:rPr>
          <w:rFonts w:eastAsia="Calibri"/>
        </w:rPr>
      </w:pPr>
      <w:r>
        <w:rPr>
          <w:rFonts w:eastAsia="Calibri"/>
        </w:rP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pPr>
        <w:pStyle w:val="Normal"/>
        <w:spacing w:before="0" w:after="0"/>
        <w:ind w:firstLine="567"/>
        <w:contextualSpacing/>
        <w:jc w:val="both"/>
        <w:rPr>
          <w:rFonts w:eastAsia="Calibri"/>
        </w:rPr>
      </w:pPr>
      <w:r>
        <w:rPr/>
        <w:t>26</w:t>
      </w:r>
      <w:r>
        <w:rPr>
          <w:rFonts w:eastAsia="Calibri"/>
        </w:rPr>
        <w:t>.2. В случае, если обжалуемые действия (бездействие) совершены заказчиком, комиссией по закупкам,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pPr>
        <w:pStyle w:val="Normal"/>
        <w:ind w:firstLine="567"/>
        <w:jc w:val="both"/>
        <w:rPr/>
      </w:pPr>
      <w:r>
        <w:rPr/>
        <w:t>26.3. При внесении изменений в настоящее Положение, такие изменения размещаются в единой информационной системе не позднее 15 календарных дней со дня их утверждения.</w:t>
      </w:r>
      <w:bookmarkStart w:id="188" w:name="_Hlk101773928"/>
      <w:bookmarkEnd w:id="188"/>
    </w:p>
    <w:p>
      <w:pPr>
        <w:pStyle w:val="Normal"/>
        <w:shd w:val="clear" w:color="auto" w:fill="FFFFFF"/>
        <w:ind w:firstLine="567"/>
        <w:jc w:val="both"/>
        <w:rPr>
          <w:caps/>
        </w:rPr>
      </w:pPr>
      <w:r>
        <w:rPr/>
        <w:t>26.4.</w:t>
      </w:r>
      <w:r>
        <w:rPr>
          <w:sz w:val="28"/>
          <w:szCs w:val="28"/>
        </w:rPr>
        <w:t xml:space="preserve"> </w:t>
      </w:r>
      <w:r>
        <w:rPr/>
        <w:t>Все закупки,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Все мероприятия по данным процедурам закупки осуществляются в соответствии с требованиями, предусмотренными Положением о закупке товаров, работ, услуг областного государственного унитарного предприятия «Липецкфармация» (ОГУП «Липецкфармация») с изменениями от 20 июля 2020 года.</w:t>
      </w:r>
    </w:p>
    <w:p>
      <w:pPr>
        <w:pStyle w:val="Normal"/>
        <w:ind w:firstLine="567"/>
        <w:jc w:val="both"/>
        <w:rPr/>
      </w:pPr>
      <w:r>
        <w:rPr/>
        <w:t>26.5. Действие настоящего Положения начинается с момента опубликования в единой информационной системе.</w:t>
      </w:r>
    </w:p>
    <w:p>
      <w:pPr>
        <w:pStyle w:val="Normal"/>
        <w:ind w:firstLine="567"/>
        <w:jc w:val="both"/>
        <w:rPr>
          <w:b/>
          <w:b/>
          <w:bCs/>
          <w:sz w:val="22"/>
          <w:szCs w:val="22"/>
        </w:rPr>
      </w:pPr>
      <w:bookmarkStart w:id="189" w:name="_Hlk113447874"/>
      <w:bookmarkEnd w:id="189"/>
      <w:r>
        <w:rPr/>
        <w:t>26.6. Действие пункта 8.2.1.9. настоящего Положения начинается с 1 декабря 2022 года.</w:t>
      </w:r>
    </w:p>
    <w:p>
      <w:pPr>
        <w:pStyle w:val="Normal"/>
        <w:shd w:val="clear" w:color="auto" w:fill="FFFFFF"/>
        <w:jc w:val="right"/>
        <w:rPr/>
      </w:pPr>
      <w:r>
        <w:rPr/>
      </w:r>
      <w:bookmarkStart w:id="190" w:name="_Hlk113447874"/>
      <w:bookmarkStart w:id="191" w:name="sub_10154"/>
      <w:bookmarkStart w:id="192" w:name="_Hlk113447874"/>
      <w:bookmarkStart w:id="193" w:name="sub_10154"/>
      <w:bookmarkEnd w:id="192"/>
      <w:bookmarkEnd w:id="193"/>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pPr>
      <w:r>
        <w:rPr/>
      </w:r>
    </w:p>
    <w:p>
      <w:pPr>
        <w:pStyle w:val="Normal"/>
        <w:shd w:val="clear" w:color="auto" w:fill="FFFFFF"/>
        <w:jc w:val="right"/>
        <w:rPr>
          <w:b/>
          <w:b/>
          <w:color w:val="000000"/>
          <w:sz w:val="20"/>
          <w:szCs w:val="20"/>
        </w:rPr>
      </w:pPr>
      <w:r>
        <w:rPr/>
        <w:t>Приложение № 1</w:t>
        <w:br/>
      </w:r>
      <w:r>
        <w:rPr>
          <w:b/>
          <w:color w:val="000000"/>
          <w:sz w:val="20"/>
          <w:szCs w:val="20"/>
        </w:rPr>
        <w:t xml:space="preserve">к Положению о закупке товаров, работ, услуг </w:t>
      </w:r>
    </w:p>
    <w:p>
      <w:pPr>
        <w:pStyle w:val="Normal"/>
        <w:shd w:val="clear" w:color="auto" w:fill="FFFFFF"/>
        <w:jc w:val="right"/>
        <w:rPr>
          <w:b/>
          <w:b/>
          <w:color w:val="000000"/>
          <w:sz w:val="20"/>
          <w:szCs w:val="20"/>
        </w:rPr>
      </w:pPr>
      <w:r>
        <w:rPr>
          <w:b/>
          <w:color w:val="000000"/>
          <w:sz w:val="20"/>
          <w:szCs w:val="20"/>
        </w:rPr>
        <w:t xml:space="preserve">областного государственного унитарного предприятия «Липецкфармация» </w:t>
      </w:r>
    </w:p>
    <w:p>
      <w:pPr>
        <w:pStyle w:val="Normal"/>
        <w:shd w:val="clear" w:color="auto" w:fill="FFFFFF"/>
        <w:jc w:val="right"/>
        <w:rPr>
          <w:b/>
          <w:b/>
          <w:color w:val="000000"/>
          <w:sz w:val="20"/>
          <w:szCs w:val="20"/>
        </w:rPr>
      </w:pPr>
      <w:r>
        <w:rPr>
          <w:b/>
          <w:color w:val="000000"/>
          <w:sz w:val="20"/>
          <w:szCs w:val="20"/>
        </w:rPr>
        <w:t>(ОГУП «Липецкфармация»)</w:t>
      </w:r>
    </w:p>
    <w:p>
      <w:pPr>
        <w:pStyle w:val="Normal"/>
        <w:jc w:val="center"/>
        <w:rPr>
          <w:b/>
          <w:b/>
          <w:bCs/>
          <w:spacing w:val="60"/>
        </w:rPr>
      </w:pPr>
      <w:r>
        <w:rPr>
          <w:b/>
          <w:bCs/>
          <w:spacing w:val="60"/>
        </w:rPr>
      </w:r>
    </w:p>
    <w:p>
      <w:pPr>
        <w:pStyle w:val="Normal"/>
        <w:jc w:val="center"/>
        <w:rPr>
          <w:b/>
          <w:b/>
          <w:bCs/>
          <w:spacing w:val="60"/>
        </w:rPr>
      </w:pPr>
      <w:r>
        <w:rPr>
          <w:b/>
          <w:bCs/>
          <w:spacing w:val="60"/>
        </w:rPr>
        <w:t xml:space="preserve">       </w:t>
      </w:r>
      <w:r>
        <w:rPr>
          <w:b/>
          <w:bCs/>
          <w:spacing w:val="60"/>
        </w:rPr>
        <w:t>ФОРМА</w:t>
      </w:r>
    </w:p>
    <w:p>
      <w:pPr>
        <w:pStyle w:val="ConsPlusNormal2"/>
        <w:spacing w:before="280" w:after="0"/>
        <w:jc w:val="center"/>
        <w:rPr>
          <w:rFonts w:ascii="Times New Roman" w:hAnsi="Times New Roman" w:cs="Times New Roman"/>
          <w:sz w:val="24"/>
          <w:szCs w:val="24"/>
        </w:rPr>
      </w:pPr>
      <w:r>
        <w:rPr>
          <w:rFonts w:cs="Times New Roman" w:ascii="Times New Roman" w:hAnsi="Times New Roman"/>
          <w:sz w:val="24"/>
          <w:szCs w:val="24"/>
        </w:rPr>
        <w:t>ИЗВЕЩЕНИЕ</w:t>
      </w:r>
    </w:p>
    <w:p>
      <w:pPr>
        <w:pStyle w:val="ConsPlusNormal2"/>
        <w:jc w:val="center"/>
        <w:rPr>
          <w:rFonts w:ascii="Times New Roman" w:hAnsi="Times New Roman" w:cs="Times New Roman"/>
          <w:sz w:val="24"/>
          <w:szCs w:val="24"/>
        </w:rPr>
      </w:pPr>
      <w:bookmarkStart w:id="194" w:name="_Hlk121821615"/>
      <w:r>
        <w:rPr>
          <w:rFonts w:cs="Times New Roman" w:ascii="Times New Roman" w:hAnsi="Times New Roman"/>
          <w:sz w:val="24"/>
          <w:szCs w:val="24"/>
        </w:rPr>
        <w:t>о публичной неконкурентной закупке</w:t>
      </w:r>
    </w:p>
    <w:p>
      <w:pPr>
        <w:pStyle w:val="ConsPlusNormal2"/>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(прямой безальтернативной закупке)</w:t>
      </w:r>
      <w:bookmarkStart w:id="195" w:name="_Hlk75507793"/>
      <w:bookmarkEnd w:id="194"/>
      <w:bookmarkEnd w:id="195"/>
    </w:p>
    <w:p>
      <w:pPr>
        <w:pStyle w:val="ConsPlusNormal2"/>
        <w:ind w:firstLine="540"/>
        <w:jc w:val="both"/>
        <w:rPr/>
      </w:pPr>
      <w:r>
        <w:rPr/>
      </w:r>
    </w:p>
    <w:p>
      <w:pPr>
        <w:pStyle w:val="Normal"/>
        <w:ind w:firstLine="720"/>
        <w:jc w:val="both"/>
        <w:rPr/>
      </w:pPr>
      <w:r>
        <w:rPr/>
        <w:t>Извещение о публичной неконкурентной закупке (прямой безальтернативной закупке) и документация о публичной неконкурентной закупке (прямой безальтернативной закупке)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 Извещение и документация о публичной неконкурентной закупке (прямой безальтернативной закупке) не являются ни офертой, ни акцептом.</w:t>
      </w:r>
    </w:p>
    <w:p>
      <w:pPr>
        <w:pStyle w:val="ConsPlusNormal2"/>
        <w:ind w:firstLine="540"/>
        <w:jc w:val="both"/>
        <w:rPr/>
      </w:pPr>
      <w:r>
        <w:rPr/>
      </w:r>
    </w:p>
    <w:tbl>
      <w:tblPr>
        <w:tblW w:w="903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noVBand="1" w:val="04a0" w:noHBand="0" w:lastColumn="0" w:firstColumn="1" w:lastRow="0" w:firstRow="1"/>
      </w:tblPr>
      <w:tblGrid>
        <w:gridCol w:w="1083"/>
        <w:gridCol w:w="3941"/>
        <w:gridCol w:w="4014"/>
      </w:tblGrid>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1</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Способ закупки</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2</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Наименование заказчика</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3</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Место нахождения заказчика</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4</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Почтовый адрес заказчика</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5</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Адрес электронной почты заказчика</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6</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Номер контактного телефона заказчика</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7</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8</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Сроки поставки (выполнения работ, оказания услуг)</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9</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Сведения о цене договора, заключаемого с поставщиком (подрядчиком, исполнителем)</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10</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Место поставки товара (выполнения работ, оказания услуг)</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11</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Наименование поставщика (подрядчика, исполнителя)</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12</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Требования к качеству товара, работам, услугам</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13</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Порядок оплаты</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14</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10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both"/>
              <w:rPr>
                <w:rFonts w:ascii="Times New Roman" w:hAnsi="Times New Roman" w:cs="Times New Roman"/>
                <w:sz w:val="24"/>
                <w:szCs w:val="24"/>
              </w:rPr>
            </w:pPr>
            <w:r>
              <w:rPr>
                <w:rFonts w:cs="Times New Roman" w:ascii="Times New Roman" w:hAnsi="Times New Roman"/>
                <w:sz w:val="24"/>
                <w:szCs w:val="24"/>
              </w:rPr>
              <w:t>15</w:t>
            </w:r>
          </w:p>
        </w:tc>
        <w:tc>
          <w:tcPr>
            <w:tcW w:w="39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ind w:hanging="0"/>
              <w:rPr>
                <w:rFonts w:ascii="Times New Roman" w:hAnsi="Times New Roman" w:cs="Times New Roman"/>
                <w:sz w:val="24"/>
                <w:szCs w:val="24"/>
              </w:rPr>
            </w:pPr>
            <w:r>
              <w:rPr>
                <w:rFonts w:cs="Times New Roman" w:ascii="Times New Roman" w:hAnsi="Times New Roman"/>
                <w:sz w:val="24"/>
                <w:szCs w:val="24"/>
              </w:rPr>
              <w:t>Место и дата рассмотрения предложений участников закупки и подведения итогов закупки</w:t>
            </w:r>
          </w:p>
        </w:tc>
        <w:tc>
          <w:tcPr>
            <w:tcW w:w="4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pPr>
            <w:r>
              <w:rPr/>
            </w:r>
            <w:bookmarkStart w:id="196" w:name="_Hlk121832756"/>
            <w:bookmarkStart w:id="197" w:name="_Hlk121832756"/>
            <w:bookmarkEnd w:id="197"/>
          </w:p>
        </w:tc>
      </w:tr>
    </w:tbl>
    <w:p>
      <w:pPr>
        <w:pStyle w:val="ConsPlusNormal2"/>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right"/>
        <w:rPr>
          <w:b/>
          <w:b/>
          <w:color w:val="000000"/>
          <w:sz w:val="20"/>
          <w:szCs w:val="20"/>
        </w:rPr>
      </w:pPr>
      <w:r>
        <w:rPr/>
        <w:t>Приложение № 2</w:t>
        <w:br/>
      </w:r>
      <w:r>
        <w:rPr>
          <w:b/>
          <w:color w:val="000000"/>
          <w:sz w:val="20"/>
          <w:szCs w:val="20"/>
        </w:rPr>
        <w:t xml:space="preserve">к Положению о закупке товаров, работ, услуг </w:t>
      </w:r>
    </w:p>
    <w:p>
      <w:pPr>
        <w:pStyle w:val="Normal"/>
        <w:shd w:val="clear" w:color="auto" w:fill="FFFFFF"/>
        <w:jc w:val="right"/>
        <w:rPr>
          <w:b/>
          <w:b/>
          <w:color w:val="000000"/>
          <w:sz w:val="20"/>
          <w:szCs w:val="20"/>
        </w:rPr>
      </w:pPr>
      <w:r>
        <w:rPr>
          <w:b/>
          <w:color w:val="000000"/>
          <w:sz w:val="20"/>
          <w:szCs w:val="20"/>
        </w:rPr>
        <w:t xml:space="preserve">областного государственного унитарного предприятия «Липецкфармация» </w:t>
      </w:r>
    </w:p>
    <w:p>
      <w:pPr>
        <w:pStyle w:val="Normal"/>
        <w:shd w:val="clear" w:color="auto" w:fill="FFFFFF"/>
        <w:jc w:val="right"/>
        <w:rPr>
          <w:b/>
          <w:b/>
          <w:color w:val="000000"/>
          <w:sz w:val="20"/>
          <w:szCs w:val="20"/>
        </w:rPr>
      </w:pPr>
      <w:r>
        <w:rPr>
          <w:b/>
          <w:color w:val="000000"/>
          <w:sz w:val="20"/>
          <w:szCs w:val="20"/>
        </w:rPr>
        <w:t>(ОГУП «Липецкфармация»)</w:t>
      </w:r>
    </w:p>
    <w:p>
      <w:pPr>
        <w:pStyle w:val="Normal"/>
        <w:jc w:val="center"/>
        <w:rPr>
          <w:b/>
          <w:b/>
          <w:bCs/>
          <w:spacing w:val="60"/>
        </w:rPr>
      </w:pPr>
      <w:r>
        <w:rPr>
          <w:b/>
          <w:bCs/>
          <w:spacing w:val="60"/>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t xml:space="preserve">ДОКУМЕНТАЦИЯ </w:t>
      </w:r>
    </w:p>
    <w:p>
      <w:pPr>
        <w:pStyle w:val="ConsPlusNormal2"/>
        <w:jc w:val="center"/>
        <w:rPr>
          <w:rFonts w:ascii="Times New Roman" w:hAnsi="Times New Roman" w:cs="Times New Roman"/>
          <w:sz w:val="24"/>
          <w:szCs w:val="24"/>
        </w:rPr>
      </w:pPr>
      <w:r>
        <w:rPr>
          <w:rFonts w:cs="Times New Roman" w:ascii="Times New Roman" w:hAnsi="Times New Roman"/>
          <w:sz w:val="24"/>
          <w:szCs w:val="24"/>
        </w:rPr>
        <w:t>о публичной неконкурентной закупке</w:t>
      </w:r>
    </w:p>
    <w:p>
      <w:pPr>
        <w:pStyle w:val="ConsPlusNormal2"/>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(прямой безальтернативной закупке)</w:t>
      </w:r>
    </w:p>
    <w:p>
      <w:pPr>
        <w:pStyle w:val="ConsPlusNormal2"/>
        <w:ind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rmal2"/>
        <w:ind w:firstLine="540"/>
        <w:jc w:val="both"/>
        <w:rPr>
          <w:rFonts w:ascii="Times New Roman" w:hAnsi="Times New Roman" w:cs="Times New Roman"/>
          <w:sz w:val="24"/>
          <w:szCs w:val="24"/>
        </w:rPr>
      </w:pPr>
      <w:r>
        <w:rPr>
          <w:rFonts w:cs="Times New Roman"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2. Требования к содержанию, форме, оформлению и составу заявки на участие в закупке: _______________________________________.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______________________________________.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4. Место, условия и сроки (периоды) поставки товара (выполнения работы, оказания услуги).</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Срок действия договора: ________________________________________.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5. Сведения о начальной (максимальной) цене договора (цене лота): ______________________________________.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6. Форма, сроки и порядок оплаты товара (работы, услуги): ______________________________________.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___________________________________.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8. Порядок, место, дата начала и дата окончания срока подачи заявок на участие в закупке: 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 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11. Место и дата рассмотрения предложений участников закупки и подведения итогов закупки: 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12. Критерии оценки и сопоставления заявок на участие в закупке: __________________________________.</w:t>
      </w:r>
    </w:p>
    <w:p>
      <w:pPr>
        <w:pStyle w:val="ConsPlusNormal2"/>
        <w:spacing w:before="220" w:after="0"/>
        <w:ind w:firstLine="540"/>
        <w:jc w:val="both"/>
        <w:rPr>
          <w:rFonts w:ascii="Times New Roman" w:hAnsi="Times New Roman" w:cs="Times New Roman"/>
          <w:sz w:val="24"/>
          <w:szCs w:val="24"/>
        </w:rPr>
      </w:pPr>
      <w:r>
        <w:rPr>
          <w:rFonts w:cs="Times New Roman" w:ascii="Times New Roman" w:hAnsi="Times New Roman"/>
          <w:sz w:val="24"/>
          <w:szCs w:val="24"/>
        </w:rPr>
        <w:t>13. Порядок оценки и сопоставления заявок на участие в закупке: __________________________________.</w:t>
      </w:r>
    </w:p>
    <w:p>
      <w:pPr>
        <w:pStyle w:val="ConsPlusNormal2"/>
        <w:ind w:firstLine="540"/>
        <w:jc w:val="both"/>
        <w:rPr/>
      </w:pPr>
      <w:r>
        <w:rPr/>
      </w:r>
    </w:p>
    <w:p>
      <w:pPr>
        <w:pStyle w:val="ConsPlusNormal2"/>
        <w:ind w:firstLine="540"/>
        <w:jc w:val="both"/>
        <w:rPr/>
      </w:pPr>
      <w:r>
        <w:rPr/>
      </w:r>
    </w:p>
    <w:p>
      <w:pPr>
        <w:pStyle w:val="ConsPlusNormal2"/>
        <w:pBdr>
          <w:top w:val="single" w:sz="6" w:space="0" w:color="000000"/>
        </w:pBdr>
        <w:spacing w:before="100" w:after="100"/>
        <w:jc w:val="both"/>
        <w:rPr>
          <w:sz w:val="2"/>
          <w:szCs w:val="2"/>
        </w:rPr>
      </w:pPr>
      <w:r>
        <w:rPr>
          <w:sz w:val="2"/>
          <w:szCs w:val="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hd w:val="clear" w:color="auto" w:fill="FFFFFF"/>
        <w:jc w:val="right"/>
        <w:rPr>
          <w:b/>
          <w:b/>
          <w:color w:val="000000"/>
        </w:rPr>
      </w:pPr>
      <w:r>
        <w:rPr/>
        <w:t>Приложение № 3</w:t>
        <w:br/>
      </w:r>
      <w:r>
        <w:rPr>
          <w:b/>
          <w:color w:val="000000"/>
        </w:rPr>
        <w:t xml:space="preserve">к Положению о закупке товаров, работ, услуг </w:t>
      </w:r>
    </w:p>
    <w:p>
      <w:pPr>
        <w:pStyle w:val="Normal"/>
        <w:shd w:val="clear" w:color="auto" w:fill="FFFFFF"/>
        <w:jc w:val="right"/>
        <w:rPr>
          <w:b/>
          <w:b/>
          <w:color w:val="000000"/>
        </w:rPr>
      </w:pPr>
      <w:r>
        <w:rPr>
          <w:b/>
          <w:color w:val="000000"/>
        </w:rPr>
        <w:t xml:space="preserve">областного государственного унитарного предприятия «Липецкфармация» </w:t>
      </w:r>
    </w:p>
    <w:p>
      <w:pPr>
        <w:pStyle w:val="Normal"/>
        <w:jc w:val="right"/>
        <w:rPr>
          <w:b/>
          <w:b/>
        </w:rPr>
      </w:pPr>
      <w:r>
        <w:rPr>
          <w:b/>
          <w:color w:val="000000"/>
        </w:rPr>
        <w:t>(ОГУП «Липецкфармация»)</w:t>
      </w:r>
      <w:r>
        <w:rPr>
          <w:b/>
        </w:rPr>
        <w:t xml:space="preserve"> </w:t>
      </w:r>
    </w:p>
    <w:p>
      <w:pPr>
        <w:pStyle w:val="Normal"/>
        <w:jc w:val="both"/>
        <w:rPr/>
      </w:pPr>
      <w:r>
        <w:rPr/>
      </w:r>
    </w:p>
    <w:p>
      <w:pPr>
        <w:pStyle w:val="Normal"/>
        <w:jc w:val="center"/>
        <w:rPr>
          <w:b/>
          <w:b/>
          <w:bCs/>
        </w:rPr>
      </w:pPr>
      <w:r>
        <w:rPr>
          <w:b/>
          <w:bCs/>
        </w:rPr>
        <w:t>Перечень</w:t>
      </w:r>
    </w:p>
    <w:p>
      <w:pPr>
        <w:pStyle w:val="Normal"/>
        <w:jc w:val="center"/>
        <w:rPr>
          <w:b/>
          <w:b/>
          <w:bCs/>
        </w:rPr>
      </w:pPr>
      <w:r>
        <w:rPr>
          <w:b/>
          <w:bCs/>
        </w:rPr>
        <w:t xml:space="preserve">товаров, работ, услуг, при осуществлении закупок которых </w:t>
      </w:r>
    </w:p>
    <w:p>
      <w:pPr>
        <w:pStyle w:val="Normal"/>
        <w:jc w:val="center"/>
        <w:rPr>
          <w:b/>
          <w:b/>
          <w:bCs/>
        </w:rPr>
      </w:pPr>
      <w:r>
        <w:rPr>
          <w:b/>
          <w:bCs/>
        </w:rPr>
        <w:t>применяются иные сроки оплаты.</w:t>
      </w:r>
    </w:p>
    <w:p>
      <w:pPr>
        <w:pStyle w:val="Normal"/>
        <w:jc w:val="center"/>
        <w:rPr>
          <w:b/>
          <w:b/>
          <w:bCs/>
        </w:rPr>
      </w:pPr>
      <w:r>
        <w:rPr>
          <w:b/>
          <w:bCs/>
        </w:rPr>
      </w:r>
    </w:p>
    <w:p>
      <w:pPr>
        <w:pStyle w:val="Normal"/>
        <w:rPr/>
      </w:pPr>
      <w:r>
        <w:rPr/>
      </w:r>
      <w:r>
        <mc:AlternateContent>
          <mc:Choice Requires="wps">
            <w:drawing>
              <wp:anchor behindDoc="0" distT="0" distB="0" distL="114935" distR="114935" simplePos="0" locked="0" layoutInCell="1" allowOverlap="1" relativeHeight="2">
                <wp:simplePos x="0" y="0"/>
                <wp:positionH relativeFrom="page">
                  <wp:posOffset>1410335</wp:posOffset>
                </wp:positionH>
                <wp:positionV relativeFrom="paragraph">
                  <wp:posOffset>13335</wp:posOffset>
                </wp:positionV>
                <wp:extent cx="5140325" cy="10692130"/>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5140325" cy="10692130"/>
                        </a:xfrm>
                        <a:prstGeom prst="rect"/>
                      </wps:spPr>
                      <wps:txbx>
                        <w:txbxContent>
                          <w:tbl>
                            <w:tblPr>
                              <w:tblStyle w:val="aff"/>
                              <w:tblpPr w:bottomFromText="0" w:horzAnchor="page" w:leftFromText="181" w:rightFromText="181" w:tblpX="2334" w:tblpY="21" w:topFromText="0" w:vertAnchor="text"/>
                              <w:tblW w:w="8095" w:type="dxa"/>
                              <w:jc w:val="left"/>
                              <w:tblInd w:w="0" w:type="dxa"/>
                              <w:tblCellMar>
                                <w:top w:w="0" w:type="dxa"/>
                                <w:left w:w="103" w:type="dxa"/>
                                <w:bottom w:w="0" w:type="dxa"/>
                                <w:right w:w="108" w:type="dxa"/>
                              </w:tblCellMar>
                              <w:tblLook w:noVBand="1" w:val="04a0" w:noHBand="0" w:lastColumn="0" w:firstColumn="1" w:lastRow="0" w:firstRow="1"/>
                            </w:tblPr>
                            <w:tblGrid>
                              <w:gridCol w:w="739"/>
                              <w:gridCol w:w="1523"/>
                              <w:gridCol w:w="3568"/>
                              <w:gridCol w:w="2264"/>
                            </w:tblGrid>
                            <w:tr>
                              <w:trPr>
                                <w:trHeight w:val="1415" w:hRule="atLeast"/>
                              </w:trPr>
                              <w:tc>
                                <w:tcPr>
                                  <w:tcW w:w="739" w:type="dxa"/>
                                  <w:tcBorders/>
                                  <w:shd w:fill="auto" w:val="clear"/>
                                  <w:vAlign w:val="center"/>
                                </w:tcPr>
                                <w:p>
                                  <w:pPr>
                                    <w:pStyle w:val="Normal"/>
                                    <w:suppressAutoHyphens w:val="false"/>
                                    <w:jc w:val="center"/>
                                    <w:rPr/>
                                  </w:pPr>
                                  <w:r>
                                    <w:rPr>
                                      <w:bCs/>
                                    </w:rPr>
                                    <w:t xml:space="preserve">№ </w:t>
                                  </w:r>
                                  <w:r>
                                    <w:rPr>
                                      <w:bCs/>
                                    </w:rPr>
                                    <w:t>п/п</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pPr>
                                  <w:r>
                                    <w:rPr>
                                      <w:bCs/>
                                    </w:rPr>
                                    <w:t>Код</w:t>
                                  </w:r>
                                </w:p>
                                <w:p>
                                  <w:pPr>
                                    <w:pStyle w:val="Normal"/>
                                    <w:suppressAutoHyphens w:val="false"/>
                                    <w:jc w:val="center"/>
                                    <w:rPr/>
                                  </w:pPr>
                                  <w:r>
                                    <w:rPr>
                                      <w:bCs/>
                                    </w:rPr>
                                    <w:t>ОКПД2</w:t>
                                  </w:r>
                                </w:p>
                              </w:tc>
                              <w:tc>
                                <w:tcPr>
                                  <w:tcW w:w="3568" w:type="dxa"/>
                                  <w:tcBorders/>
                                  <w:shd w:fill="auto" w:val="clear"/>
                                </w:tcPr>
                                <w:p>
                                  <w:pPr>
                                    <w:pStyle w:val="Normal"/>
                                    <w:suppressAutoHyphens w:val="false"/>
                                    <w:jc w:val="center"/>
                                    <w:rPr>
                                      <w:bCs/>
                                    </w:rPr>
                                  </w:pPr>
                                  <w:r>
                                    <w:rPr>
                                      <w:bCs/>
                                    </w:rPr>
                                  </w:r>
                                </w:p>
                                <w:p>
                                  <w:pPr>
                                    <w:pStyle w:val="Normal"/>
                                    <w:suppressAutoHyphens w:val="false"/>
                                    <w:jc w:val="center"/>
                                    <w:rPr>
                                      <w:bCs/>
                                    </w:rPr>
                                  </w:pPr>
                                  <w:r>
                                    <w:rPr>
                                      <w:bCs/>
                                    </w:rPr>
                                  </w:r>
                                </w:p>
                                <w:p>
                                  <w:pPr>
                                    <w:pStyle w:val="Normal"/>
                                    <w:suppressAutoHyphens w:val="false"/>
                                    <w:jc w:val="center"/>
                                    <w:rPr/>
                                  </w:pPr>
                                  <w:r>
                                    <w:rPr>
                                      <w:bCs/>
                                    </w:rPr>
                                    <w:t>Предмет договора</w:t>
                                  </w:r>
                                </w:p>
                              </w:tc>
                              <w:tc>
                                <w:tcPr>
                                  <w:tcW w:w="2264" w:type="dxa"/>
                                  <w:tcBorders/>
                                  <w:shd w:fill="auto" w:val="clear"/>
                                  <w:vAlign w:val="center"/>
                                </w:tcPr>
                                <w:p>
                                  <w:pPr>
                                    <w:pStyle w:val="Normal"/>
                                    <w:suppressAutoHyphens w:val="false"/>
                                    <w:jc w:val="center"/>
                                    <w:rPr/>
                                  </w:pPr>
                                  <w:r>
                                    <w:rPr>
                                      <w:bCs/>
                                    </w:rPr>
                                    <w:t>Срок оплаты по договору</w:t>
                                  </w:r>
                                </w:p>
                              </w:tc>
                            </w:tr>
                            <w:tr>
                              <w:trPr>
                                <w:trHeight w:val="472" w:hRule="atLeast"/>
                              </w:trPr>
                              <w:tc>
                                <w:tcPr>
                                  <w:tcW w:w="739" w:type="dxa"/>
                                  <w:tcBorders/>
                                  <w:shd w:fill="auto" w:val="clear"/>
                                  <w:vAlign w:val="center"/>
                                </w:tcPr>
                                <w:p>
                                  <w:pPr>
                                    <w:pStyle w:val="Normal"/>
                                    <w:suppressAutoHyphens w:val="false"/>
                                    <w:jc w:val="center"/>
                                    <w:rPr/>
                                  </w:pPr>
                                  <w:r>
                                    <w:rPr>
                                      <w:bCs/>
                                    </w:rPr>
                                    <w:t>1</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pPr>
                                  <w:r>
                                    <w:rPr>
                                      <w:color w:val="000000"/>
                                    </w:rPr>
                                    <w:t>21</w:t>
                                  </w:r>
                                </w:p>
                              </w:tc>
                              <w:tc>
                                <w:tcPr>
                                  <w:tcW w:w="3568" w:type="dxa"/>
                                  <w:tcBorders/>
                                  <w:shd w:fill="auto" w:val="clear"/>
                                  <w:vAlign w:val="center"/>
                                </w:tcPr>
                                <w:p>
                                  <w:pPr>
                                    <w:pStyle w:val="Normal"/>
                                    <w:suppressAutoHyphens w:val="false"/>
                                    <w:rPr/>
                                  </w:pPr>
                                  <w:r>
                                    <w:rPr>
                                      <w:color w:val="000000"/>
                                    </w:rPr>
                                    <w:t>Лекарственные препараты, медицинские изделия, дезинфицирующие средства, предметы и средства личной гигиены, предметы и средства, предназначенные для ухода за больными, новорожденными и детьми, не достигшими возраста трех лет, средства ухода за очковой оптикой, минеральные воды, продукты лечебного, детского и диетического питания, биологически активные добавки, парфюмерные и косметические средства</w:t>
                                  </w:r>
                                </w:p>
                              </w:tc>
                              <w:tc>
                                <w:tcPr>
                                  <w:tcW w:w="2264" w:type="dxa"/>
                                  <w:tcBorders/>
                                  <w:shd w:fill="auto" w:val="clear"/>
                                  <w:vAlign w:val="center"/>
                                </w:tcPr>
                                <w:p>
                                  <w:pPr>
                                    <w:pStyle w:val="Normal"/>
                                    <w:suppressAutoHyphens w:val="false"/>
                                    <w:jc w:val="center"/>
                                    <w:rPr/>
                                  </w:pPr>
                                  <w:r>
                                    <w:rPr>
                                      <w:bCs/>
                                    </w:rPr>
                                    <w:t>В течение 60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rPr>
                                    <w:t>2</w:t>
                                  </w:r>
                                </w:p>
                              </w:tc>
                              <w:tc>
                                <w:tcPr>
                                  <w:tcW w:w="1523" w:type="dxa"/>
                                  <w:tcBorders/>
                                  <w:shd w:fill="auto" w:val="clear"/>
                                </w:tcPr>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false"/>
                                    <w:jc w:val="center"/>
                                    <w:rPr/>
                                  </w:pPr>
                                  <w:r>
                                    <w:rPr>
                                      <w:rFonts w:eastAsia="Calibri" w:eastAsiaTheme="minorHAnsi"/>
                                      <w:lang w:eastAsia="en-US"/>
                                    </w:rPr>
                                    <w:t>68.31.16</w:t>
                                  </w:r>
                                </w:p>
                                <w:p>
                                  <w:pPr>
                                    <w:pStyle w:val="Normal"/>
                                    <w:suppressAutoHyphens w:val="false"/>
                                    <w:jc w:val="center"/>
                                    <w:rPr>
                                      <w:rStyle w:val="FontStyle26"/>
                                      <w:rFonts w:eastAsia="Calibri"/>
                                    </w:rPr>
                                  </w:pPr>
                                  <w:r>
                                    <w:rPr>
                                      <w:rFonts w:eastAsia="Calibri"/>
                                    </w:rPr>
                                  </w:r>
                                </w:p>
                              </w:tc>
                              <w:tc>
                                <w:tcPr>
                                  <w:tcW w:w="3568" w:type="dxa"/>
                                  <w:tcBorders/>
                                  <w:shd w:fill="auto" w:val="clear"/>
                                  <w:vAlign w:val="center"/>
                                </w:tcPr>
                                <w:p>
                                  <w:pPr>
                                    <w:pStyle w:val="Normal"/>
                                    <w:suppressAutoHyphens w:val="false"/>
                                    <w:rPr/>
                                  </w:pPr>
                                  <w:r>
                                    <w:rPr>
                                      <w:rStyle w:val="FontStyle26"/>
                                      <w:rFonts w:eastAsia="Calibri"/>
                                    </w:rPr>
                                    <w:t>Проведени</w:t>
                                  </w:r>
                                  <w:r>
                                    <w:rPr>
                                      <w:rStyle w:val="FontStyle26"/>
                                    </w:rPr>
                                    <w:t>е</w:t>
                                  </w:r>
                                  <w:r>
                                    <w:rPr>
                                      <w:rStyle w:val="FontStyle26"/>
                                      <w:rFonts w:eastAsia="Calibri"/>
                                    </w:rPr>
                                    <w:t xml:space="preserve"> оценки рыночной стоимости </w:t>
                                  </w:r>
                                  <w:r>
                                    <w:rPr>
                                      <w:rFonts w:eastAsia="Calibri"/>
                                    </w:rPr>
                                    <w:t>объекта недвижимого имущества</w:t>
                                  </w:r>
                                </w:p>
                              </w:tc>
                              <w:tc>
                                <w:tcPr>
                                  <w:tcW w:w="2264" w:type="dxa"/>
                                  <w:tcBorders/>
                                  <w:shd w:fill="auto" w:val="clear"/>
                                  <w:vAlign w:val="center"/>
                                </w:tcPr>
                                <w:p>
                                  <w:pPr>
                                    <w:pStyle w:val="Normal"/>
                                    <w:suppressAutoHyphens w:val="false"/>
                                    <w:jc w:val="center"/>
                                    <w:rPr/>
                                  </w:pPr>
                                  <w:r>
                                    <w:rPr>
                                      <w:bCs/>
                                    </w:rPr>
                                    <w:t>не более10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lang w:val="en-US"/>
                                    </w:rPr>
                                    <w:t>3</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pPr>
                                  <w:r>
                                    <w:rPr>
                                      <w:bCs/>
                                    </w:rPr>
                                    <w:t>47.99.50</w:t>
                                  </w:r>
                                </w:p>
                                <w:p>
                                  <w:pPr>
                                    <w:pStyle w:val="Normal"/>
                                    <w:suppressAutoHyphens w:val="false"/>
                                    <w:jc w:val="center"/>
                                    <w:rPr>
                                      <w:bCs/>
                                    </w:rPr>
                                  </w:pPr>
                                  <w:r>
                                    <w:rPr>
                                      <w:bCs/>
                                    </w:rPr>
                                  </w:r>
                                </w:p>
                              </w:tc>
                              <w:tc>
                                <w:tcPr>
                                  <w:tcW w:w="3568" w:type="dxa"/>
                                  <w:tcBorders/>
                                  <w:shd w:fill="auto" w:val="clear"/>
                                  <w:vAlign w:val="center"/>
                                </w:tcPr>
                                <w:p>
                                  <w:pPr>
                                    <w:pStyle w:val="Normal"/>
                                    <w:suppressAutoHyphens w:val="false"/>
                                    <w:rPr/>
                                  </w:pPr>
                                  <w:r>
                                    <w:rPr>
                                      <w:bCs/>
                                    </w:rPr>
                                    <w:t xml:space="preserve">Реализация лекарственных препаратов и товаров аптечного ассортимента через обособленные подразделения Комитента  </w:t>
                                  </w:r>
                                </w:p>
                              </w:tc>
                              <w:tc>
                                <w:tcPr>
                                  <w:tcW w:w="2264" w:type="dxa"/>
                                  <w:tcBorders/>
                                  <w:shd w:fill="auto" w:val="clear"/>
                                  <w:vAlign w:val="center"/>
                                </w:tcPr>
                                <w:p>
                                  <w:pPr>
                                    <w:pStyle w:val="Normal"/>
                                    <w:suppressAutoHyphens w:val="false"/>
                                    <w:jc w:val="center"/>
                                    <w:rPr/>
                                  </w:pPr>
                                  <w:r>
                                    <w:rPr>
                                      <w:bCs/>
                                    </w:rPr>
                                    <w:t>не более 10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lang w:val="en-US"/>
                                    </w:rPr>
                                    <w:t>4</w:t>
                                  </w:r>
                                  <w:r>
                                    <w:rPr>
                                      <w:bCs/>
                                    </w:rPr>
                                    <w:t xml:space="preserve"> </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bCs/>
                                    </w:rPr>
                                  </w:pPr>
                                  <w:r>
                                    <w:rPr>
                                      <w:bCs/>
                                    </w:rPr>
                                  </w:r>
                                </w:p>
                                <w:p>
                                  <w:pPr>
                                    <w:pStyle w:val="Normal"/>
                                    <w:suppressAutoHyphens w:val="false"/>
                                    <w:jc w:val="center"/>
                                    <w:rPr/>
                                  </w:pPr>
                                  <w:r>
                                    <w:rPr>
                                      <w:bCs/>
                                    </w:rPr>
                                    <w:t>38.1</w:t>
                                  </w:r>
                                </w:p>
                              </w:tc>
                              <w:tc>
                                <w:tcPr>
                                  <w:tcW w:w="3568" w:type="dxa"/>
                                  <w:tcBorders/>
                                  <w:shd w:fill="auto" w:val="clear"/>
                                  <w:vAlign w:val="center"/>
                                </w:tcPr>
                                <w:p>
                                  <w:pPr>
                                    <w:pStyle w:val="Normal"/>
                                    <w:suppressAutoHyphens w:val="false"/>
                                    <w:rPr/>
                                  </w:pPr>
                                  <w:r>
                                    <w:rPr>
                                      <w:bCs/>
                                    </w:rPr>
                                    <w:t>Оказание услуг по организации работ сбора, транспортирования, обработки, утилизации и обезвреживания отходов</w:t>
                                  </w:r>
                                </w:p>
                              </w:tc>
                              <w:tc>
                                <w:tcPr>
                                  <w:tcW w:w="2264" w:type="dxa"/>
                                  <w:tcBorders/>
                                  <w:shd w:fill="auto" w:val="clear"/>
                                  <w:vAlign w:val="center"/>
                                </w:tcPr>
                                <w:p>
                                  <w:pPr>
                                    <w:pStyle w:val="Normal"/>
                                    <w:suppressAutoHyphens w:val="false"/>
                                    <w:jc w:val="center"/>
                                    <w:rPr/>
                                  </w:pPr>
                                  <w:r>
                                    <w:rPr>
                                      <w:bCs/>
                                    </w:rPr>
                                    <w:t>в течение 30 календарных дней с момента выставления</w:t>
                                  </w:r>
                                  <w:r>
                                    <w:rPr>
                                      <w:bCs/>
                                      <w:color w:val="FF0000"/>
                                    </w:rPr>
                                    <w:t xml:space="preserve"> </w:t>
                                  </w:r>
                                  <w:r>
                                    <w:rPr>
                                      <w:bCs/>
                                    </w:rPr>
                                    <w:t xml:space="preserve">акта выполненных работ </w:t>
                                  </w:r>
                                </w:p>
                              </w:tc>
                            </w:tr>
                            <w:tr>
                              <w:trPr>
                                <w:trHeight w:val="472" w:hRule="atLeast"/>
                              </w:trPr>
                              <w:tc>
                                <w:tcPr>
                                  <w:tcW w:w="739" w:type="dxa"/>
                                  <w:tcBorders/>
                                  <w:shd w:fill="auto" w:val="clear"/>
                                  <w:vAlign w:val="center"/>
                                </w:tcPr>
                                <w:p>
                                  <w:pPr>
                                    <w:pStyle w:val="Normal"/>
                                    <w:suppressAutoHyphens w:val="false"/>
                                    <w:jc w:val="center"/>
                                    <w:rPr/>
                                  </w:pPr>
                                  <w:r>
                                    <w:rPr>
                                      <w:bCs/>
                                      <w:lang w:val="en-US"/>
                                    </w:rPr>
                                    <w:t>5</w:t>
                                  </w:r>
                                </w:p>
                              </w:tc>
                              <w:tc>
                                <w:tcPr>
                                  <w:tcW w:w="1523" w:type="dxa"/>
                                  <w:tcBorders/>
                                  <w:shd w:fill="auto" w:val="clear"/>
                                </w:tcPr>
                                <w:p>
                                  <w:pPr>
                                    <w:pStyle w:val="Normal"/>
                                    <w:suppressAutoHyphens w:val="false"/>
                                    <w:jc w:val="center"/>
                                    <w:rPr>
                                      <w:color w:val="000000"/>
                                      <w:highlight w:val="white"/>
                                    </w:rPr>
                                  </w:pPr>
                                  <w:r>
                                    <w:rPr>
                                      <w:color w:val="000000"/>
                                      <w:shd w:fill="FFFFFF" w:val="clear"/>
                                    </w:rPr>
                                  </w:r>
                                </w:p>
                                <w:p>
                                  <w:pPr>
                                    <w:pStyle w:val="Normal"/>
                                    <w:suppressAutoHyphens w:val="false"/>
                                    <w:jc w:val="center"/>
                                    <w:rPr>
                                      <w:color w:val="000000"/>
                                      <w:highlight w:val="white"/>
                                    </w:rPr>
                                  </w:pPr>
                                  <w:r>
                                    <w:rPr>
                                      <w:color w:val="000000"/>
                                      <w:shd w:fill="FFFFFF" w:val="clear"/>
                                    </w:rPr>
                                  </w:r>
                                </w:p>
                                <w:p>
                                  <w:pPr>
                                    <w:pStyle w:val="Normal"/>
                                    <w:suppressAutoHyphens w:val="false"/>
                                    <w:jc w:val="center"/>
                                    <w:rPr/>
                                  </w:pPr>
                                  <w:r>
                                    <w:rPr>
                                      <w:color w:val="000000"/>
                                      <w:shd w:fill="FFFFFF" w:val="clear"/>
                                    </w:rPr>
                                    <w:t>71.20.11.190</w:t>
                                  </w:r>
                                </w:p>
                              </w:tc>
                              <w:tc>
                                <w:tcPr>
                                  <w:tcW w:w="3568" w:type="dxa"/>
                                  <w:tcBorders/>
                                  <w:shd w:fill="auto" w:val="clear"/>
                                  <w:vAlign w:val="center"/>
                                </w:tcPr>
                                <w:p>
                                  <w:pPr>
                                    <w:pStyle w:val="Normal"/>
                                    <w:suppressAutoHyphens w:val="false"/>
                                    <w:rPr/>
                                  </w:pPr>
                                  <w:r>
                                    <w:rPr>
                                      <w:bCs/>
                                    </w:rPr>
                                    <w:t xml:space="preserve">Производственный контроль: исследование физических факторов в аптечных организациях </w:t>
                                  </w:r>
                                </w:p>
                              </w:tc>
                              <w:tc>
                                <w:tcPr>
                                  <w:tcW w:w="2264" w:type="dxa"/>
                                  <w:tcBorders/>
                                  <w:shd w:fill="auto" w:val="clear"/>
                                  <w:vAlign w:val="center"/>
                                </w:tcPr>
                                <w:p>
                                  <w:pPr>
                                    <w:pStyle w:val="Normal"/>
                                    <w:suppressAutoHyphens w:val="false"/>
                                    <w:jc w:val="center"/>
                                    <w:rPr/>
                                  </w:pPr>
                                  <w:r>
                                    <w:rPr>
                                      <w:bCs/>
                                    </w:rPr>
                                    <w:t xml:space="preserve">в течение 15 рабочих   дней с момента   подписания акта приема – сдачи   оказанных услуг   </w:t>
                                  </w:r>
                                </w:p>
                              </w:tc>
                            </w:tr>
                            <w:tr>
                              <w:trPr>
                                <w:trHeight w:val="472" w:hRule="atLeast"/>
                              </w:trPr>
                              <w:tc>
                                <w:tcPr>
                                  <w:tcW w:w="739" w:type="dxa"/>
                                  <w:tcBorders/>
                                  <w:shd w:fill="auto" w:val="clear"/>
                                  <w:vAlign w:val="center"/>
                                </w:tcPr>
                                <w:p>
                                  <w:pPr>
                                    <w:pStyle w:val="Normal"/>
                                    <w:suppressAutoHyphens w:val="false"/>
                                    <w:jc w:val="center"/>
                                    <w:rPr/>
                                  </w:pPr>
                                  <w:r>
                                    <w:rPr>
                                      <w:bCs/>
                                    </w:rPr>
                                    <w:t>6</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29.32.30</w:t>
                                  </w:r>
                                </w:p>
                              </w:tc>
                              <w:tc>
                                <w:tcPr>
                                  <w:tcW w:w="3568" w:type="dxa"/>
                                  <w:tcBorders/>
                                  <w:shd w:fill="auto" w:val="clear"/>
                                  <w:vAlign w:val="center"/>
                                </w:tcPr>
                                <w:p>
                                  <w:pPr>
                                    <w:pStyle w:val="Normal"/>
                                    <w:suppressAutoHyphens w:val="false"/>
                                    <w:rPr/>
                                  </w:pPr>
                                  <w:r>
                                    <w:rPr>
                                      <w:color w:val="000000"/>
                                    </w:rPr>
                                    <w:t xml:space="preserve">Поставка автомобильных запчастей </w:t>
                                  </w:r>
                                </w:p>
                              </w:tc>
                              <w:tc>
                                <w:tcPr>
                                  <w:tcW w:w="2264" w:type="dxa"/>
                                  <w:tcBorders/>
                                  <w:shd w:fill="auto" w:val="clear"/>
                                  <w:vAlign w:val="center"/>
                                </w:tcPr>
                                <w:p>
                                  <w:pPr>
                                    <w:pStyle w:val="Normal"/>
                                    <w:suppressAutoHyphens w:val="false"/>
                                    <w:jc w:val="center"/>
                                    <w:rPr/>
                                  </w:pPr>
                                  <w:r>
                                    <w:rPr>
                                      <w:bCs/>
                                    </w:rPr>
                                    <w:t>не более 14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rPr>
                                    <w:t>7</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45.20.1</w:t>
                                  </w:r>
                                </w:p>
                              </w:tc>
                              <w:tc>
                                <w:tcPr>
                                  <w:tcW w:w="3568" w:type="dxa"/>
                                  <w:tcBorders/>
                                  <w:shd w:fill="auto" w:val="clear"/>
                                  <w:vAlign w:val="center"/>
                                </w:tcPr>
                                <w:p>
                                  <w:pPr>
                                    <w:pStyle w:val="Normal"/>
                                    <w:suppressAutoHyphens w:val="false"/>
                                    <w:rPr/>
                                  </w:pPr>
                                  <w:r>
                                    <w:rPr>
                                      <w:color w:val="000000"/>
                                    </w:rPr>
                                    <w:t>Ремонт автомобильного транспорта предприятия</w:t>
                                  </w:r>
                                </w:p>
                              </w:tc>
                              <w:tc>
                                <w:tcPr>
                                  <w:tcW w:w="2264" w:type="dxa"/>
                                  <w:tcBorders/>
                                  <w:shd w:fill="auto" w:val="clear"/>
                                  <w:vAlign w:val="center"/>
                                </w:tcPr>
                                <w:p>
                                  <w:pPr>
                                    <w:pStyle w:val="Normal"/>
                                    <w:suppressAutoHyphens w:val="false"/>
                                    <w:jc w:val="center"/>
                                    <w:rPr/>
                                  </w:pPr>
                                  <w:r>
                                    <w:rPr>
                                      <w:bCs/>
                                    </w:rPr>
                                    <w:t>не более 14 календарных</w:t>
                                  </w:r>
                                </w:p>
                              </w:tc>
                            </w:tr>
                            <w:tr>
                              <w:trPr>
                                <w:trHeight w:val="472" w:hRule="atLeast"/>
                              </w:trPr>
                              <w:tc>
                                <w:tcPr>
                                  <w:tcW w:w="739" w:type="dxa"/>
                                  <w:tcBorders/>
                                  <w:shd w:fill="auto" w:val="clear"/>
                                  <w:vAlign w:val="center"/>
                                </w:tcPr>
                                <w:p>
                                  <w:pPr>
                                    <w:pStyle w:val="Normal"/>
                                    <w:suppressAutoHyphens w:val="false"/>
                                    <w:jc w:val="center"/>
                                    <w:rPr/>
                                  </w:pPr>
                                  <w:r>
                                    <w:rPr>
                                      <w:bCs/>
                                    </w:rPr>
                                    <w:t>8</w:t>
                                  </w:r>
                                </w:p>
                              </w:tc>
                              <w:tc>
                                <w:tcPr>
                                  <w:tcW w:w="1523" w:type="dxa"/>
                                  <w:tcBorders/>
                                  <w:shd w:fill="auto" w:val="clear"/>
                                </w:tcPr>
                                <w:p>
                                  <w:pPr>
                                    <w:pStyle w:val="Normal"/>
                                    <w:suppressAutoHyphens w:val="false"/>
                                    <w:jc w:val="center"/>
                                    <w:rPr>
                                      <w:highlight w:val="white"/>
                                    </w:rPr>
                                  </w:pPr>
                                  <w:r>
                                    <w:rPr>
                                      <w:shd w:fill="FFFFFF" w:val="clear"/>
                                    </w:rPr>
                                  </w:r>
                                </w:p>
                                <w:p>
                                  <w:pPr>
                                    <w:pStyle w:val="Normal"/>
                                    <w:suppressAutoHyphens w:val="false"/>
                                    <w:jc w:val="center"/>
                                    <w:rPr/>
                                  </w:pPr>
                                  <w:r>
                                    <w:rPr>
                                      <w:shd w:fill="FFFFFF" w:val="clear"/>
                                    </w:rPr>
                                    <w:t>71.20.14</w:t>
                                  </w:r>
                                </w:p>
                              </w:tc>
                              <w:tc>
                                <w:tcPr>
                                  <w:tcW w:w="3568" w:type="dxa"/>
                                  <w:tcBorders/>
                                  <w:shd w:fill="auto" w:val="clear"/>
                                  <w:vAlign w:val="center"/>
                                </w:tcPr>
                                <w:p>
                                  <w:pPr>
                                    <w:pStyle w:val="Normal"/>
                                    <w:suppressAutoHyphens w:val="false"/>
                                    <w:rPr/>
                                  </w:pPr>
                                  <w:r>
                                    <w:rPr>
                                      <w:color w:val="000000"/>
                                    </w:rPr>
                                    <w:t>Прохождение технического осмотра</w:t>
                                  </w:r>
                                </w:p>
                              </w:tc>
                              <w:tc>
                                <w:tcPr>
                                  <w:tcW w:w="2264" w:type="dxa"/>
                                  <w:tcBorders/>
                                  <w:shd w:fill="auto" w:val="clear"/>
                                  <w:vAlign w:val="center"/>
                                </w:tcPr>
                                <w:p>
                                  <w:pPr>
                                    <w:pStyle w:val="Normal"/>
                                    <w:suppressAutoHyphens w:val="false"/>
                                    <w:jc w:val="center"/>
                                    <w:rPr/>
                                  </w:pPr>
                                  <w:r>
                                    <w:rPr>
                                      <w:bCs/>
                                    </w:rPr>
                                    <w:t>не более 14 календарных</w:t>
                                  </w:r>
                                </w:p>
                              </w:tc>
                            </w:tr>
                            <w:tr>
                              <w:trPr>
                                <w:trHeight w:val="472" w:hRule="atLeast"/>
                              </w:trPr>
                              <w:tc>
                                <w:tcPr>
                                  <w:tcW w:w="739" w:type="dxa"/>
                                  <w:tcBorders/>
                                  <w:shd w:fill="auto" w:val="clear"/>
                                  <w:vAlign w:val="center"/>
                                </w:tcPr>
                                <w:p>
                                  <w:pPr>
                                    <w:pStyle w:val="Normal"/>
                                    <w:suppressAutoHyphens w:val="false"/>
                                    <w:jc w:val="center"/>
                                    <w:rPr/>
                                  </w:pPr>
                                  <w:r>
                                    <w:rPr>
                                      <w:bCs/>
                                    </w:rPr>
                                    <w:t>9</w:t>
                                  </w:r>
                                </w:p>
                              </w:tc>
                              <w:tc>
                                <w:tcPr>
                                  <w:tcW w:w="1523" w:type="dxa"/>
                                  <w:tcBorders/>
                                  <w:shd w:fill="auto" w:val="clear"/>
                                </w:tcPr>
                                <w:p>
                                  <w:pPr>
                                    <w:pStyle w:val="1"/>
                                    <w:numPr>
                                      <w:ilvl w:val="0"/>
                                      <w:numId w:val="0"/>
                                    </w:numPr>
                                    <w:shd w:val="clear" w:color="auto" w:fill="FFFFFF"/>
                                    <w:suppressAutoHyphens w:val="false"/>
                                    <w:spacing w:before="75" w:after="150"/>
                                    <w:jc w:val="center"/>
                                    <w:outlineLvl w:val="0"/>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95.11.10.130</w:t>
                                  </w:r>
                                </w:p>
                                <w:p>
                                  <w:pPr>
                                    <w:pStyle w:val="Normal"/>
                                    <w:suppressAutoHyphens w:val="false"/>
                                    <w:jc w:val="center"/>
                                    <w:rPr>
                                      <w:rStyle w:val="FontStyle26"/>
                                      <w:sz w:val="24"/>
                                    </w:rPr>
                                  </w:pPr>
                                  <w:r>
                                    <w:rPr>
                                      <w:sz w:val="24"/>
                                    </w:rPr>
                                  </w:r>
                                </w:p>
                              </w:tc>
                              <w:tc>
                                <w:tcPr>
                                  <w:tcW w:w="3568" w:type="dxa"/>
                                  <w:tcBorders/>
                                  <w:shd w:fill="auto" w:val="clear"/>
                                  <w:vAlign w:val="center"/>
                                </w:tcPr>
                                <w:p>
                                  <w:pPr>
                                    <w:pStyle w:val="Normal"/>
                                    <w:suppressAutoHyphens w:val="false"/>
                                    <w:rPr/>
                                  </w:pPr>
                                  <w:r>
                                    <w:rPr>
                                      <w:rStyle w:val="FontStyle26"/>
                                      <w:sz w:val="24"/>
                                      <w:szCs w:val="28"/>
                                    </w:rPr>
                                    <w:t>Заправка, ремонт и восстановление картриджей</w:t>
                                  </w:r>
                                </w:p>
                              </w:tc>
                              <w:tc>
                                <w:tcPr>
                                  <w:tcW w:w="2264" w:type="dxa"/>
                                  <w:tcBorders/>
                                  <w:shd w:fill="auto" w:val="clear"/>
                                  <w:vAlign w:val="center"/>
                                </w:tcPr>
                                <w:p>
                                  <w:pPr>
                                    <w:pStyle w:val="Normal"/>
                                    <w:suppressAutoHyphens w:val="false"/>
                                    <w:jc w:val="center"/>
                                    <w:rPr/>
                                  </w:pPr>
                                  <w:r>
                                    <w:rPr>
                                      <w:bCs/>
                                    </w:rPr>
                                    <w:t>в течение 15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10</w:t>
                                  </w:r>
                                </w:p>
                              </w:tc>
                              <w:tc>
                                <w:tcPr>
                                  <w:tcW w:w="1523" w:type="dxa"/>
                                  <w:tcBorders/>
                                  <w:shd w:fill="auto" w:val="clear"/>
                                </w:tcPr>
                                <w:p>
                                  <w:pPr>
                                    <w:pStyle w:val="Normal"/>
                                    <w:suppressAutoHyphens w:val="false"/>
                                    <w:jc w:val="center"/>
                                    <w:rPr/>
                                  </w:pPr>
                                  <w:r>
                                    <w:rPr>
                                      <w:color w:val="333333"/>
                                      <w:shd w:fill="FFFFFF" w:val="clear"/>
                                    </w:rPr>
                                    <w:t>47.62.20.000</w:t>
                                  </w:r>
                                </w:p>
                              </w:tc>
                              <w:tc>
                                <w:tcPr>
                                  <w:tcW w:w="3568" w:type="dxa"/>
                                  <w:tcBorders/>
                                  <w:shd w:fill="auto" w:val="clear"/>
                                  <w:vAlign w:val="center"/>
                                </w:tcPr>
                                <w:p>
                                  <w:pPr>
                                    <w:pStyle w:val="Normal"/>
                                    <w:suppressAutoHyphens w:val="false"/>
                                    <w:rPr/>
                                  </w:pPr>
                                  <w:r>
                                    <w:rPr>
                                      <w:bCs/>
                                    </w:rPr>
                                    <w:t>Поставка канцелярских товаров</w:t>
                                  </w:r>
                                </w:p>
                              </w:tc>
                              <w:tc>
                                <w:tcPr>
                                  <w:tcW w:w="2264" w:type="dxa"/>
                                  <w:tcBorders/>
                                  <w:shd w:fill="auto" w:val="clear"/>
                                  <w:vAlign w:val="center"/>
                                </w:tcPr>
                                <w:p>
                                  <w:pPr>
                                    <w:pStyle w:val="Normal"/>
                                    <w:suppressAutoHyphens w:val="false"/>
                                    <w:jc w:val="center"/>
                                    <w:rPr/>
                                  </w:pPr>
                                  <w:r>
                                    <w:rPr>
                                      <w:bCs/>
                                    </w:rPr>
                                    <w:t>в течение 15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11</w:t>
                                  </w:r>
                                </w:p>
                              </w:tc>
                              <w:tc>
                                <w:tcPr>
                                  <w:tcW w:w="1523" w:type="dxa"/>
                                  <w:tcBorders/>
                                  <w:shd w:fill="auto" w:val="clear"/>
                                </w:tcPr>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17.22</w:t>
                                  </w:r>
                                </w:p>
                                <w:p>
                                  <w:pPr>
                                    <w:pStyle w:val="Normal"/>
                                    <w:suppressAutoHyphens w:val="false"/>
                                    <w:jc w:val="center"/>
                                    <w:rPr>
                                      <w:bCs/>
                                    </w:rPr>
                                  </w:pPr>
                                  <w:r>
                                    <w:rPr>
                                      <w:bCs/>
                                    </w:rPr>
                                  </w:r>
                                </w:p>
                              </w:tc>
                              <w:tc>
                                <w:tcPr>
                                  <w:tcW w:w="3568" w:type="dxa"/>
                                  <w:tcBorders/>
                                  <w:shd w:fill="auto" w:val="clear"/>
                                  <w:vAlign w:val="center"/>
                                </w:tcPr>
                                <w:p>
                                  <w:pPr>
                                    <w:pStyle w:val="Normal"/>
                                    <w:suppressAutoHyphens w:val="false"/>
                                    <w:rPr/>
                                  </w:pPr>
                                  <w:r>
                                    <w:rPr>
                                      <w:bCs/>
                                    </w:rPr>
                                    <w:t>Поставка бытовой химии, хоз.товаров</w:t>
                                  </w:r>
                                </w:p>
                              </w:tc>
                              <w:tc>
                                <w:tcPr>
                                  <w:tcW w:w="2264" w:type="dxa"/>
                                  <w:tcBorders/>
                                  <w:shd w:fill="auto" w:val="clear"/>
                                  <w:vAlign w:val="center"/>
                                </w:tcPr>
                                <w:p>
                                  <w:pPr>
                                    <w:pStyle w:val="Normal"/>
                                    <w:suppressAutoHyphens w:val="false"/>
                                    <w:jc w:val="center"/>
                                    <w:rPr/>
                                  </w:pPr>
                                  <w:r>
                                    <w:rPr>
                                      <w:bCs/>
                                    </w:rPr>
                                    <w:t>в течение 15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12</w:t>
                                  </w:r>
                                </w:p>
                              </w:tc>
                              <w:tc>
                                <w:tcPr>
                                  <w:tcW w:w="1523" w:type="dxa"/>
                                  <w:tcBorders/>
                                  <w:shd w:fill="auto" w:val="clear"/>
                                </w:tcPr>
                                <w:p>
                                  <w:pPr>
                                    <w:pStyle w:val="Normal"/>
                                    <w:suppressAutoHyphens w:val="false"/>
                                    <w:jc w:val="center"/>
                                    <w:rPr>
                                      <w:color w:val="000000"/>
                                      <w:highlight w:val="white"/>
                                    </w:rPr>
                                  </w:pPr>
                                  <w:r>
                                    <w:rPr>
                                      <w:color w:val="000000"/>
                                      <w:shd w:fill="FFFFFF" w:val="clear"/>
                                    </w:rPr>
                                  </w:r>
                                </w:p>
                                <w:p>
                                  <w:pPr>
                                    <w:pStyle w:val="Normal"/>
                                    <w:suppressAutoHyphens w:val="false"/>
                                    <w:jc w:val="center"/>
                                    <w:rPr>
                                      <w:color w:val="000000"/>
                                      <w:highlight w:val="white"/>
                                    </w:rPr>
                                  </w:pPr>
                                  <w:r>
                                    <w:rPr>
                                      <w:color w:val="000000"/>
                                      <w:shd w:fill="FFFFFF" w:val="clear"/>
                                    </w:rPr>
                                  </w:r>
                                </w:p>
                                <w:p>
                                  <w:pPr>
                                    <w:pStyle w:val="Normal"/>
                                    <w:suppressAutoHyphens w:val="false"/>
                                    <w:jc w:val="center"/>
                                    <w:rPr/>
                                  </w:pPr>
                                  <w:r>
                                    <w:rPr>
                                      <w:color w:val="000000"/>
                                      <w:shd w:fill="FFFFFF" w:val="clear"/>
                                    </w:rPr>
                                    <w:t>80.20.10.000</w:t>
                                  </w:r>
                                </w:p>
                              </w:tc>
                              <w:tc>
                                <w:tcPr>
                                  <w:tcW w:w="3568" w:type="dxa"/>
                                  <w:tcBorders/>
                                  <w:shd w:fill="auto" w:val="clear"/>
                                  <w:vAlign w:val="center"/>
                                </w:tcPr>
                                <w:p>
                                  <w:pPr>
                                    <w:pStyle w:val="Normal"/>
                                    <w:suppressAutoHyphens w:val="false"/>
                                    <w:rPr/>
                                  </w:pPr>
                                  <w:r>
                                    <w:rPr>
                                      <w:bCs/>
                                    </w:rPr>
                                    <w:t>Проведение технического обслуживания внутренних пожарных кранов и пожарного гидранта</w:t>
                                  </w:r>
                                </w:p>
                              </w:tc>
                              <w:tc>
                                <w:tcPr>
                                  <w:tcW w:w="2264" w:type="dxa"/>
                                  <w:tcBorders/>
                                  <w:shd w:fill="auto" w:val="clear"/>
                                  <w:vAlign w:val="center"/>
                                </w:tcPr>
                                <w:p>
                                  <w:pPr>
                                    <w:pStyle w:val="Normal"/>
                                    <w:suppressAutoHyphens w:val="false"/>
                                    <w:jc w:val="center"/>
                                    <w:rPr/>
                                  </w:pPr>
                                  <w:r>
                                    <w:rPr>
                                      <w:bCs/>
                                    </w:rPr>
                                    <w:t>в течение 10 рабочих дней с момента исполнения технического обслуживания</w:t>
                                  </w:r>
                                </w:p>
                              </w:tc>
                            </w:tr>
                            <w:tr>
                              <w:trPr>
                                <w:trHeight w:val="472" w:hRule="atLeast"/>
                              </w:trPr>
                              <w:tc>
                                <w:tcPr>
                                  <w:tcW w:w="739" w:type="dxa"/>
                                  <w:tcBorders/>
                                  <w:shd w:fill="auto" w:val="clear"/>
                                  <w:vAlign w:val="center"/>
                                </w:tcPr>
                                <w:p>
                                  <w:pPr>
                                    <w:pStyle w:val="Normal"/>
                                    <w:suppressAutoHyphens w:val="false"/>
                                    <w:jc w:val="center"/>
                                    <w:rPr/>
                                  </w:pPr>
                                  <w:r>
                                    <w:rPr>
                                      <w:bCs/>
                                    </w:rPr>
                                    <w:t>13</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33.12.15.000</w:t>
                                  </w:r>
                                </w:p>
                              </w:tc>
                              <w:tc>
                                <w:tcPr>
                                  <w:tcW w:w="3568" w:type="dxa"/>
                                  <w:tcBorders/>
                                  <w:shd w:fill="auto" w:val="clear"/>
                                  <w:vAlign w:val="center"/>
                                </w:tcPr>
                                <w:p>
                                  <w:pPr>
                                    <w:pStyle w:val="Normal"/>
                                    <w:suppressAutoHyphens w:val="false"/>
                                    <w:rPr/>
                                  </w:pPr>
                                  <w:r>
                                    <w:rPr>
                                      <w:bCs/>
                                    </w:rPr>
                                    <w:t>Техническое обслуживание и ремонт подъемника</w:t>
                                  </w:r>
                                </w:p>
                              </w:tc>
                              <w:tc>
                                <w:tcPr>
                                  <w:tcW w:w="2264" w:type="dxa"/>
                                  <w:tcBorders/>
                                  <w:shd w:fill="auto" w:val="clear"/>
                                  <w:vAlign w:val="center"/>
                                </w:tcPr>
                                <w:p>
                                  <w:pPr>
                                    <w:pStyle w:val="Normal"/>
                                    <w:suppressAutoHyphens w:val="false"/>
                                    <w:jc w:val="center"/>
                                    <w:rPr/>
                                  </w:pPr>
                                  <w:r>
                                    <w:rPr>
                                      <w:bCs/>
                                    </w:rPr>
                                    <w:t>не позднее 15 числа месяца, следующего за расчетным</w:t>
                                  </w:r>
                                </w:p>
                              </w:tc>
                            </w:tr>
                            <w:tr>
                              <w:trPr>
                                <w:trHeight w:val="472" w:hRule="atLeast"/>
                              </w:trPr>
                              <w:tc>
                                <w:tcPr>
                                  <w:tcW w:w="739" w:type="dxa"/>
                                  <w:tcBorders/>
                                  <w:shd w:fill="auto" w:val="clear"/>
                                  <w:vAlign w:val="center"/>
                                </w:tcPr>
                                <w:p>
                                  <w:pPr>
                                    <w:pStyle w:val="Normal"/>
                                    <w:suppressAutoHyphens w:val="false"/>
                                    <w:jc w:val="center"/>
                                    <w:rPr/>
                                  </w:pPr>
                                  <w:r>
                                    <w:rPr>
                                      <w:bCs/>
                                    </w:rPr>
                                    <w:t>14</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pPr>
                                  <w:r>
                                    <w:rPr>
                                      <w:bCs/>
                                    </w:rPr>
                                    <w:t>52.23.19.114</w:t>
                                  </w:r>
                                </w:p>
                              </w:tc>
                              <w:tc>
                                <w:tcPr>
                                  <w:tcW w:w="3568" w:type="dxa"/>
                                  <w:tcBorders/>
                                  <w:shd w:fill="auto" w:val="clear"/>
                                  <w:vAlign w:val="center"/>
                                </w:tcPr>
                                <w:p>
                                  <w:pPr>
                                    <w:pStyle w:val="Normal"/>
                                    <w:suppressAutoHyphens w:val="false"/>
                                    <w:rPr/>
                                  </w:pPr>
                                  <w:r>
                                    <w:rPr>
                                      <w:bCs/>
                                    </w:rPr>
                                    <w:t>Погрузо-разгрузочные работы</w:t>
                                  </w:r>
                                </w:p>
                              </w:tc>
                              <w:tc>
                                <w:tcPr>
                                  <w:tcW w:w="2264" w:type="dxa"/>
                                  <w:tcBorders/>
                                  <w:shd w:fill="auto" w:val="clear"/>
                                  <w:vAlign w:val="center"/>
                                </w:tcPr>
                                <w:p>
                                  <w:pPr>
                                    <w:pStyle w:val="Normal"/>
                                    <w:suppressAutoHyphens w:val="false"/>
                                    <w:jc w:val="center"/>
                                    <w:rPr/>
                                  </w:pPr>
                                  <w:r>
                                    <w:rPr>
                                      <w:bCs/>
                                    </w:rPr>
                                    <w:t>не позднее 10 календарных дней после получения счета</w:t>
                                  </w:r>
                                </w:p>
                              </w:tc>
                            </w:tr>
                            <w:tr>
                              <w:trPr>
                                <w:trHeight w:val="472" w:hRule="atLeast"/>
                              </w:trPr>
                              <w:tc>
                                <w:tcPr>
                                  <w:tcW w:w="739" w:type="dxa"/>
                                  <w:tcBorders/>
                                  <w:shd w:fill="auto" w:val="clear"/>
                                  <w:vAlign w:val="center"/>
                                </w:tcPr>
                                <w:p>
                                  <w:pPr>
                                    <w:pStyle w:val="Normal"/>
                                    <w:suppressAutoHyphens w:val="false"/>
                                    <w:jc w:val="center"/>
                                    <w:rPr/>
                                  </w:pPr>
                                  <w:r>
                                    <w:rPr>
                                      <w:bCs/>
                                    </w:rPr>
                                    <w:t>15</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bCs/>
                                    </w:rPr>
                                  </w:pPr>
                                  <w:r>
                                    <w:rPr>
                                      <w:bCs/>
                                    </w:rPr>
                                  </w:r>
                                </w:p>
                                <w:p>
                                  <w:pPr>
                                    <w:pStyle w:val="Normal"/>
                                    <w:suppressAutoHyphens w:val="false"/>
                                    <w:jc w:val="center"/>
                                    <w:rPr/>
                                  </w:pPr>
                                  <w:r>
                                    <w:rPr>
                                      <w:bCs/>
                                    </w:rPr>
                                    <w:t>33.14.1</w:t>
                                  </w:r>
                                </w:p>
                              </w:tc>
                              <w:tc>
                                <w:tcPr>
                                  <w:tcW w:w="3568" w:type="dxa"/>
                                  <w:tcBorders/>
                                  <w:shd w:fill="auto" w:val="clear"/>
                                  <w:vAlign w:val="center"/>
                                </w:tcPr>
                                <w:p>
                                  <w:pPr>
                                    <w:pStyle w:val="Normal"/>
                                    <w:suppressAutoHyphens w:val="false"/>
                                    <w:rPr/>
                                  </w:pPr>
                                  <w:r>
                                    <w:rPr>
                                      <w:bCs/>
                                    </w:rPr>
                                    <w:t>Техническое, оперативное обслуживание и организацию безопасной эксплуатации электроустановок. Техническое обслуживание дизель-генераторной установки.</w:t>
                                  </w:r>
                                </w:p>
                              </w:tc>
                              <w:tc>
                                <w:tcPr>
                                  <w:tcW w:w="2264" w:type="dxa"/>
                                  <w:tcBorders/>
                                  <w:shd w:fill="auto" w:val="clear"/>
                                  <w:vAlign w:val="center"/>
                                </w:tcPr>
                                <w:p>
                                  <w:pPr>
                                    <w:pStyle w:val="Normal"/>
                                    <w:suppressAutoHyphens w:val="false"/>
                                    <w:jc w:val="center"/>
                                    <w:rPr/>
                                  </w:pPr>
                                  <w:r>
                                    <w:rPr>
                                      <w:bCs/>
                                    </w:rPr>
                                    <w:t>в течение 10 дней с момента подписания акта</w:t>
                                  </w:r>
                                </w:p>
                              </w:tc>
                            </w:tr>
                            <w:tr>
                              <w:trPr>
                                <w:trHeight w:val="472" w:hRule="atLeast"/>
                              </w:trPr>
                              <w:tc>
                                <w:tcPr>
                                  <w:tcW w:w="739" w:type="dxa"/>
                                  <w:tcBorders/>
                                  <w:shd w:fill="auto" w:val="clear"/>
                                  <w:vAlign w:val="center"/>
                                </w:tcPr>
                                <w:p>
                                  <w:pPr>
                                    <w:pStyle w:val="Normal"/>
                                    <w:suppressAutoHyphens w:val="false"/>
                                    <w:jc w:val="center"/>
                                    <w:rPr/>
                                  </w:pPr>
                                  <w:r>
                                    <w:rPr>
                                      <w:bCs/>
                                    </w:rPr>
                                    <w:t>16</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43.22.12.120</w:t>
                                  </w:r>
                                </w:p>
                              </w:tc>
                              <w:tc>
                                <w:tcPr>
                                  <w:tcW w:w="3568" w:type="dxa"/>
                                  <w:tcBorders/>
                                  <w:shd w:fill="auto" w:val="clear"/>
                                  <w:vAlign w:val="center"/>
                                </w:tcPr>
                                <w:p>
                                  <w:pPr>
                                    <w:pStyle w:val="Normal"/>
                                    <w:suppressAutoHyphens w:val="false"/>
                                    <w:rPr/>
                                  </w:pPr>
                                  <w:r>
                                    <w:rPr>
                                      <w:bCs/>
                                    </w:rPr>
                                    <w:t>Техническое обслуживание и ремонт тепловых пунктов</w:t>
                                  </w:r>
                                </w:p>
                              </w:tc>
                              <w:tc>
                                <w:tcPr>
                                  <w:tcW w:w="2264" w:type="dxa"/>
                                  <w:tcBorders/>
                                  <w:shd w:fill="auto" w:val="clear"/>
                                  <w:vAlign w:val="center"/>
                                </w:tcPr>
                                <w:p>
                                  <w:pPr>
                                    <w:pStyle w:val="Normal"/>
                                    <w:suppressAutoHyphens w:val="false"/>
                                    <w:jc w:val="center"/>
                                    <w:rPr/>
                                  </w:pPr>
                                  <w:r>
                                    <w:rPr>
                                      <w:bCs/>
                                    </w:rPr>
                                    <w:t>в течение 10 рабочих дней с момента подписания акта</w:t>
                                  </w:r>
                                </w:p>
                              </w:tc>
                            </w:tr>
                            <w:tr>
                              <w:trPr>
                                <w:trHeight w:val="472" w:hRule="atLeast"/>
                              </w:trPr>
                              <w:tc>
                                <w:tcPr>
                                  <w:tcW w:w="739" w:type="dxa"/>
                                  <w:tcBorders/>
                                  <w:shd w:fill="auto" w:val="clear"/>
                                  <w:vAlign w:val="center"/>
                                </w:tcPr>
                                <w:p>
                                  <w:pPr>
                                    <w:pStyle w:val="Normal"/>
                                    <w:suppressAutoHyphens w:val="false"/>
                                    <w:jc w:val="center"/>
                                    <w:rPr/>
                                  </w:pPr>
                                  <w:r>
                                    <w:rPr>
                                      <w:bCs/>
                                    </w:rPr>
                                    <w:t>17</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86.21.10</w:t>
                                  </w:r>
                                </w:p>
                              </w:tc>
                              <w:tc>
                                <w:tcPr>
                                  <w:tcW w:w="3568" w:type="dxa"/>
                                  <w:tcBorders/>
                                  <w:shd w:fill="auto" w:val="clear"/>
                                  <w:vAlign w:val="center"/>
                                </w:tcPr>
                                <w:p>
                                  <w:pPr>
                                    <w:pStyle w:val="Normal"/>
                                    <w:suppressAutoHyphens w:val="false"/>
                                    <w:rPr/>
                                  </w:pPr>
                                  <w:r>
                                    <w:rPr>
                                      <w:color w:val="000000"/>
                                    </w:rPr>
                                    <w:t>Оказание медицинских услуг по проведению предварительных и периодических медицинских осмотров</w:t>
                                  </w:r>
                                </w:p>
                              </w:tc>
                              <w:tc>
                                <w:tcPr>
                                  <w:tcW w:w="2264" w:type="dxa"/>
                                  <w:tcBorders/>
                                  <w:shd w:fill="auto" w:val="clear"/>
                                  <w:vAlign w:val="center"/>
                                </w:tcPr>
                                <w:p>
                                  <w:pPr>
                                    <w:pStyle w:val="Normal"/>
                                    <w:suppressAutoHyphens w:val="false"/>
                                    <w:jc w:val="center"/>
                                    <w:rPr/>
                                  </w:pPr>
                                  <w:r>
                                    <w:rPr>
                                      <w:color w:val="000000"/>
                                    </w:rPr>
                                    <w:t>30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18</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38.1</w:t>
                                  </w:r>
                                </w:p>
                              </w:tc>
                              <w:tc>
                                <w:tcPr>
                                  <w:tcW w:w="3568" w:type="dxa"/>
                                  <w:tcBorders/>
                                  <w:shd w:fill="auto" w:val="clear"/>
                                  <w:vAlign w:val="center"/>
                                </w:tcPr>
                                <w:p>
                                  <w:pPr>
                                    <w:pStyle w:val="Normal"/>
                                    <w:suppressAutoHyphens w:val="false"/>
                                    <w:rPr/>
                                  </w:pPr>
                                  <w:r>
                                    <w:rPr>
                                      <w:color w:val="000000"/>
                                    </w:rPr>
                                    <w:t>Оказание услуг по обращению с твердыми коммунальными отходами региональным оператором</w:t>
                                  </w:r>
                                </w:p>
                              </w:tc>
                              <w:tc>
                                <w:tcPr>
                                  <w:tcW w:w="2264" w:type="dxa"/>
                                  <w:tcBorders/>
                                  <w:shd w:fill="auto" w:val="clear"/>
                                  <w:vAlign w:val="center"/>
                                </w:tcPr>
                                <w:p>
                                  <w:pPr>
                                    <w:pStyle w:val="Normal"/>
                                    <w:suppressAutoHyphens w:val="false"/>
                                    <w:jc w:val="center"/>
                                    <w:rPr/>
                                  </w:pPr>
                                  <w:r>
                                    <w:rPr>
                                      <w:color w:val="000000"/>
                                    </w:rPr>
                                    <w:t>10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rPr>
                                    <w:t>19</w:t>
                                  </w:r>
                                </w:p>
                              </w:tc>
                              <w:tc>
                                <w:tcPr>
                                  <w:tcW w:w="1523" w:type="dxa"/>
                                  <w:tcBorders/>
                                  <w:shd w:fill="auto" w:val="clear"/>
                                </w:tcPr>
                                <w:p>
                                  <w:pPr>
                                    <w:pStyle w:val="Normal"/>
                                    <w:suppressAutoHyphens w:val="false"/>
                                    <w:jc w:val="center"/>
                                    <w:rPr/>
                                  </w:pPr>
                                  <w:r>
                                    <w:rPr>
                                      <w:color w:val="333333"/>
                                      <w:shd w:fill="FFFFFF" w:val="clear"/>
                                    </w:rPr>
                                    <w:t>85.42.1</w:t>
                                  </w:r>
                                </w:p>
                              </w:tc>
                              <w:tc>
                                <w:tcPr>
                                  <w:tcW w:w="3568" w:type="dxa"/>
                                  <w:tcBorders/>
                                  <w:shd w:fill="auto" w:val="clear"/>
                                  <w:vAlign w:val="center"/>
                                </w:tcPr>
                                <w:p>
                                  <w:pPr>
                                    <w:pStyle w:val="Normal"/>
                                    <w:suppressAutoHyphens w:val="false"/>
                                    <w:rPr/>
                                  </w:pPr>
                                  <w:r>
                                    <w:rPr>
                                      <w:color w:val="000000"/>
                                    </w:rPr>
                                    <w:t>Предоставление образовательных услуг</w:t>
                                  </w:r>
                                </w:p>
                              </w:tc>
                              <w:tc>
                                <w:tcPr>
                                  <w:tcW w:w="2264" w:type="dxa"/>
                                  <w:tcBorders/>
                                  <w:shd w:fill="auto" w:val="clear"/>
                                  <w:vAlign w:val="center"/>
                                </w:tcPr>
                                <w:p>
                                  <w:pPr>
                                    <w:pStyle w:val="Normal"/>
                                    <w:suppressAutoHyphens w:val="false"/>
                                    <w:jc w:val="center"/>
                                    <w:rPr/>
                                  </w:pPr>
                                  <w:r>
                                    <w:rPr>
                                      <w:color w:val="000000"/>
                                    </w:rPr>
                                    <w:t>10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20</w:t>
                                  </w:r>
                                </w:p>
                              </w:tc>
                              <w:tc>
                                <w:tcPr>
                                  <w:tcW w:w="1523" w:type="dxa"/>
                                  <w:tcBorders/>
                                  <w:shd w:fill="auto" w:val="clear"/>
                                </w:tcPr>
                                <w:p>
                                  <w:pPr>
                                    <w:pStyle w:val="1"/>
                                    <w:numPr>
                                      <w:ilvl w:val="0"/>
                                      <w:numId w:val="0"/>
                                    </w:numPr>
                                    <w:shd w:val="clear" w:color="auto" w:fill="FFFFFF"/>
                                    <w:suppressAutoHyphens w:val="false"/>
                                    <w:spacing w:before="75" w:after="150"/>
                                    <w:jc w:val="center"/>
                                    <w:outlineLvl w:val="0"/>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71.20.13.000</w:t>
                                  </w:r>
                                </w:p>
                                <w:p>
                                  <w:pPr>
                                    <w:pStyle w:val="Normal"/>
                                    <w:suppressAutoHyphens w:val="false"/>
                                    <w:jc w:val="center"/>
                                    <w:rPr>
                                      <w:color w:val="000000"/>
                                    </w:rPr>
                                  </w:pPr>
                                  <w:r>
                                    <w:rPr>
                                      <w:color w:val="000000"/>
                                    </w:rPr>
                                  </w:r>
                                </w:p>
                              </w:tc>
                              <w:tc>
                                <w:tcPr>
                                  <w:tcW w:w="3568" w:type="dxa"/>
                                  <w:tcBorders/>
                                  <w:shd w:fill="auto" w:val="clear"/>
                                  <w:vAlign w:val="center"/>
                                </w:tcPr>
                                <w:p>
                                  <w:pPr>
                                    <w:pStyle w:val="Normal"/>
                                    <w:suppressAutoHyphens w:val="false"/>
                                    <w:rPr/>
                                  </w:pPr>
                                  <w:r>
                                    <w:rPr>
                                      <w:color w:val="000000"/>
                                    </w:rPr>
                                    <w:t>Проведение испытаний и измерений электрооборудования до 110 кВ и испытаний защитных средств повышенным напряжением</w:t>
                                  </w:r>
                                </w:p>
                              </w:tc>
                              <w:tc>
                                <w:tcPr>
                                  <w:tcW w:w="2264" w:type="dxa"/>
                                  <w:tcBorders/>
                                  <w:shd w:fill="auto" w:val="clear"/>
                                  <w:vAlign w:val="center"/>
                                </w:tcPr>
                                <w:p>
                                  <w:pPr>
                                    <w:pStyle w:val="Normal"/>
                                    <w:suppressAutoHyphens w:val="false"/>
                                    <w:jc w:val="center"/>
                                    <w:rPr/>
                                  </w:pPr>
                                  <w:r>
                                    <w:rPr>
                                      <w:color w:val="000000"/>
                                    </w:rPr>
                                    <w:t>10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21</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35.30.11.120</w:t>
                                  </w:r>
                                </w:p>
                              </w:tc>
                              <w:tc>
                                <w:tcPr>
                                  <w:tcW w:w="3568" w:type="dxa"/>
                                  <w:tcBorders/>
                                  <w:shd w:fill="auto" w:val="clear"/>
                                  <w:vAlign w:val="center"/>
                                </w:tcPr>
                                <w:p>
                                  <w:pPr>
                                    <w:pStyle w:val="Normal"/>
                                    <w:suppressAutoHyphens w:val="false"/>
                                    <w:rPr/>
                                  </w:pPr>
                                  <w:r>
                                    <w:rPr>
                                      <w:color w:val="000000"/>
                                    </w:rPr>
                                    <w:t>Поставка тепловой энергии в горячей воде</w:t>
                                  </w:r>
                                </w:p>
                              </w:tc>
                              <w:tc>
                                <w:tcPr>
                                  <w:tcW w:w="2264" w:type="dxa"/>
                                  <w:tcBorders/>
                                  <w:shd w:fill="auto" w:val="clear"/>
                                  <w:vAlign w:val="center"/>
                                </w:tcPr>
                                <w:p>
                                  <w:pPr>
                                    <w:pStyle w:val="Normal"/>
                                    <w:suppressAutoHyphens w:val="false"/>
                                    <w:jc w:val="center"/>
                                    <w:rPr/>
                                  </w:pPr>
                                  <w:r>
                                    <w:rPr>
                                      <w:color w:val="000000"/>
                                    </w:rPr>
                                    <w:t>До 10-го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22</w:t>
                                  </w:r>
                                </w:p>
                              </w:tc>
                              <w:tc>
                                <w:tcPr>
                                  <w:tcW w:w="1523" w:type="dxa"/>
                                  <w:tcBorders/>
                                  <w:shd w:fill="auto" w:val="clear"/>
                                </w:tcPr>
                                <w:p>
                                  <w:pPr>
                                    <w:pStyle w:val="Normal"/>
                                    <w:suppressAutoHyphens w:val="false"/>
                                    <w:jc w:val="center"/>
                                    <w:rPr>
                                      <w:color w:val="000000"/>
                                      <w:highlight w:val="white"/>
                                    </w:rPr>
                                  </w:pPr>
                                  <w:r>
                                    <w:rPr>
                                      <w:color w:val="000000"/>
                                      <w:shd w:fill="FFFFFF" w:val="clear"/>
                                    </w:rPr>
                                  </w:r>
                                </w:p>
                                <w:p>
                                  <w:pPr>
                                    <w:pStyle w:val="Normal"/>
                                    <w:suppressAutoHyphens w:val="false"/>
                                    <w:jc w:val="center"/>
                                    <w:rPr>
                                      <w:color w:val="000000"/>
                                      <w:highlight w:val="white"/>
                                    </w:rPr>
                                  </w:pPr>
                                  <w:r>
                                    <w:rPr>
                                      <w:color w:val="000000"/>
                                      <w:shd w:fill="FFFFFF" w:val="clear"/>
                                    </w:rPr>
                                  </w:r>
                                </w:p>
                                <w:p>
                                  <w:pPr>
                                    <w:pStyle w:val="Normal"/>
                                    <w:suppressAutoHyphens w:val="false"/>
                                    <w:jc w:val="center"/>
                                    <w:rPr/>
                                  </w:pPr>
                                  <w:r>
                                    <w:rPr>
                                      <w:color w:val="000000"/>
                                      <w:shd w:fill="FFFFFF" w:val="clear"/>
                                    </w:rPr>
                                    <w:t>80.20.10.000</w:t>
                                  </w:r>
                                </w:p>
                              </w:tc>
                              <w:tc>
                                <w:tcPr>
                                  <w:tcW w:w="3568" w:type="dxa"/>
                                  <w:tcBorders/>
                                  <w:shd w:fill="auto" w:val="clear"/>
                                  <w:vAlign w:val="center"/>
                                </w:tcPr>
                                <w:p>
                                  <w:pPr>
                                    <w:pStyle w:val="Normal"/>
                                    <w:suppressAutoHyphens w:val="false"/>
                                    <w:rPr/>
                                  </w:pPr>
                                  <w:r>
                                    <w:rPr>
                                      <w:color w:val="000000"/>
                                    </w:rPr>
                                    <w:t>Обеспечение пожарной безопасности (обработка чердачных помещений, испытание кранов, оценка качества огнезащитной обработки чердачных помещений)</w:t>
                                  </w:r>
                                </w:p>
                              </w:tc>
                              <w:tc>
                                <w:tcPr>
                                  <w:tcW w:w="2264" w:type="dxa"/>
                                  <w:tcBorders/>
                                  <w:shd w:fill="auto" w:val="clear"/>
                                  <w:vAlign w:val="center"/>
                                </w:tcPr>
                                <w:p>
                                  <w:pPr>
                                    <w:pStyle w:val="Normal"/>
                                    <w:suppressAutoHyphens w:val="false"/>
                                    <w:jc w:val="center"/>
                                    <w:rPr/>
                                  </w:pPr>
                                  <w:r>
                                    <w:rPr>
                                      <w:color w:val="000000"/>
                                    </w:rPr>
                                    <w:t>В течение 10 рабочих дней после подписания акта</w:t>
                                  </w:r>
                                </w:p>
                              </w:tc>
                            </w:tr>
                            <w:tr>
                              <w:trPr>
                                <w:trHeight w:val="472" w:hRule="atLeast"/>
                              </w:trPr>
                              <w:tc>
                                <w:tcPr>
                                  <w:tcW w:w="739" w:type="dxa"/>
                                  <w:tcBorders/>
                                  <w:shd w:fill="auto" w:val="clear"/>
                                  <w:vAlign w:val="center"/>
                                </w:tcPr>
                                <w:p>
                                  <w:pPr>
                                    <w:pStyle w:val="Normal"/>
                                    <w:suppressAutoHyphens w:val="false"/>
                                    <w:jc w:val="center"/>
                                    <w:rPr/>
                                  </w:pPr>
                                  <w:r>
                                    <w:rPr>
                                      <w:bCs/>
                                    </w:rPr>
                                    <w:t>23</w:t>
                                  </w:r>
                                </w:p>
                              </w:tc>
                              <w:tc>
                                <w:tcPr>
                                  <w:tcW w:w="1523" w:type="dxa"/>
                                  <w:tcBorders/>
                                  <w:shd w:fill="auto" w:val="clear"/>
                                </w:tcPr>
                                <w:p>
                                  <w:pPr>
                                    <w:pStyle w:val="Normal"/>
                                    <w:suppressAutoHyphens w:val="false"/>
                                    <w:jc w:val="center"/>
                                    <w:rPr>
                                      <w:b/>
                                      <w:b/>
                                      <w:sz w:val="28"/>
                                      <w:szCs w:val="28"/>
                                    </w:rPr>
                                  </w:pPr>
                                  <w:r>
                                    <w:rPr>
                                      <w:b/>
                                      <w:sz w:val="28"/>
                                      <w:szCs w:val="28"/>
                                    </w:rPr>
                                  </w:r>
                                </w:p>
                                <w:p>
                                  <w:pPr>
                                    <w:pStyle w:val="Normal"/>
                                    <w:suppressAutoHyphens w:val="false"/>
                                    <w:jc w:val="center"/>
                                    <w:rPr/>
                                  </w:pPr>
                                  <w:r>
                                    <w:rPr>
                                      <w:bCs/>
                                    </w:rPr>
                                    <w:t>35.23.10</w:t>
                                  </w:r>
                                </w:p>
                              </w:tc>
                              <w:tc>
                                <w:tcPr>
                                  <w:tcW w:w="3568" w:type="dxa"/>
                                  <w:tcBorders/>
                                  <w:shd w:fill="auto" w:val="clear"/>
                                  <w:vAlign w:val="center"/>
                                </w:tcPr>
                                <w:p>
                                  <w:pPr>
                                    <w:pStyle w:val="Normal"/>
                                    <w:suppressAutoHyphens w:val="false"/>
                                    <w:rPr/>
                                  </w:pPr>
                                  <w:r>
                                    <w:rPr>
                                      <w:color w:val="000000"/>
                                    </w:rPr>
                                    <w:t>Поставка газа</w:t>
                                  </w:r>
                                </w:p>
                              </w:tc>
                              <w:tc>
                                <w:tcPr>
                                  <w:tcW w:w="2264" w:type="dxa"/>
                                  <w:tcBorders/>
                                  <w:shd w:fill="auto" w:val="clear"/>
                                  <w:vAlign w:val="center"/>
                                </w:tcPr>
                                <w:p>
                                  <w:pPr>
                                    <w:pStyle w:val="Normal"/>
                                    <w:suppressAutoHyphens w:val="false"/>
                                    <w:jc w:val="center"/>
                                    <w:rPr/>
                                  </w:pPr>
                                  <w:r>
                                    <w:rPr>
                                      <w:color w:val="000000"/>
                                    </w:rPr>
                                    <w:t>До 10-го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24</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35.11.10</w:t>
                                  </w:r>
                                </w:p>
                              </w:tc>
                              <w:tc>
                                <w:tcPr>
                                  <w:tcW w:w="3568" w:type="dxa"/>
                                  <w:tcBorders/>
                                  <w:shd w:fill="auto" w:val="clear"/>
                                  <w:vAlign w:val="center"/>
                                </w:tcPr>
                                <w:p>
                                  <w:pPr>
                                    <w:pStyle w:val="Normal"/>
                                    <w:suppressAutoHyphens w:val="false"/>
                                    <w:rPr/>
                                  </w:pPr>
                                  <w:r>
                                    <w:rPr>
                                      <w:color w:val="000000"/>
                                    </w:rPr>
                                    <w:t>Поставка электрической энергии</w:t>
                                  </w:r>
                                </w:p>
                              </w:tc>
                              <w:tc>
                                <w:tcPr>
                                  <w:tcW w:w="2264" w:type="dxa"/>
                                  <w:tcBorders/>
                                  <w:shd w:fill="auto" w:val="clear"/>
                                  <w:vAlign w:val="center"/>
                                </w:tcPr>
                                <w:p>
                                  <w:pPr>
                                    <w:pStyle w:val="Normal"/>
                                    <w:suppressAutoHyphens w:val="false"/>
                                    <w:jc w:val="center"/>
                                    <w:rPr/>
                                  </w:pPr>
                                  <w:r>
                                    <w:rPr>
                                      <w:color w:val="000000"/>
                                    </w:rPr>
                                    <w:t>До 10-го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25</w:t>
                                  </w:r>
                                </w:p>
                              </w:tc>
                              <w:tc>
                                <w:tcPr>
                                  <w:tcW w:w="1523" w:type="dxa"/>
                                  <w:tcBorders/>
                                  <w:shd w:fill="auto" w:val="clear"/>
                                </w:tcPr>
                                <w:p>
                                  <w:pPr>
                                    <w:pStyle w:val="Normal"/>
                                    <w:suppressAutoHyphens w:val="false"/>
                                    <w:jc w:val="center"/>
                                    <w:rPr>
                                      <w:color w:val="333333"/>
                                    </w:rPr>
                                  </w:pPr>
                                  <w:r>
                                    <w:rPr>
                                      <w:color w:val="333333"/>
                                    </w:rPr>
                                  </w:r>
                                </w:p>
                                <w:p>
                                  <w:pPr>
                                    <w:pStyle w:val="Normal"/>
                                    <w:suppressAutoHyphens w:val="false"/>
                                    <w:jc w:val="center"/>
                                    <w:rPr/>
                                  </w:pPr>
                                  <w:r>
                                    <w:rPr>
                                      <w:color w:val="333333"/>
                                    </w:rPr>
                                    <w:t>71.20.13.000</w:t>
                                  </w:r>
                                </w:p>
                              </w:tc>
                              <w:tc>
                                <w:tcPr>
                                  <w:tcW w:w="3568" w:type="dxa"/>
                                  <w:tcBorders/>
                                  <w:shd w:fill="auto" w:val="clear"/>
                                  <w:vAlign w:val="center"/>
                                </w:tcPr>
                                <w:p>
                                  <w:pPr>
                                    <w:pStyle w:val="Normal"/>
                                    <w:suppressAutoHyphens w:val="false"/>
                                    <w:rPr/>
                                  </w:pPr>
                                  <w:r>
                                    <w:rPr>
                                      <w:color w:val="000000"/>
                                    </w:rPr>
                                    <w:t xml:space="preserve">Техническое обслуживание электроустановок </w:t>
                                  </w:r>
                                </w:p>
                              </w:tc>
                              <w:tc>
                                <w:tcPr>
                                  <w:tcW w:w="2264" w:type="dxa"/>
                                  <w:tcBorders/>
                                  <w:shd w:fill="auto" w:val="clear"/>
                                  <w:vAlign w:val="center"/>
                                </w:tcPr>
                                <w:p>
                                  <w:pPr>
                                    <w:pStyle w:val="Normal"/>
                                    <w:suppressAutoHyphens w:val="false"/>
                                    <w:jc w:val="center"/>
                                    <w:rPr/>
                                  </w:pPr>
                                  <w:r>
                                    <w:rPr>
                                      <w:color w:val="000000"/>
                                    </w:rPr>
                                    <w:t xml:space="preserve">В течение 10 рабочих дней с момента подписания акта </w:t>
                                  </w:r>
                                </w:p>
                              </w:tc>
                            </w:tr>
                            <w:tr>
                              <w:trPr>
                                <w:trHeight w:val="472" w:hRule="atLeast"/>
                              </w:trPr>
                              <w:tc>
                                <w:tcPr>
                                  <w:tcW w:w="739" w:type="dxa"/>
                                  <w:tcBorders/>
                                  <w:shd w:fill="auto" w:val="clear"/>
                                  <w:vAlign w:val="center"/>
                                </w:tcPr>
                                <w:p>
                                  <w:pPr>
                                    <w:pStyle w:val="Normal"/>
                                    <w:suppressAutoHyphens w:val="false"/>
                                    <w:jc w:val="center"/>
                                    <w:rPr/>
                                  </w:pPr>
                                  <w:r>
                                    <w:rPr>
                                      <w:bCs/>
                                    </w:rPr>
                                    <w:t>26</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65.12.21.000</w:t>
                                  </w:r>
                                </w:p>
                              </w:tc>
                              <w:tc>
                                <w:tcPr>
                                  <w:tcW w:w="3568" w:type="dxa"/>
                                  <w:tcBorders/>
                                  <w:shd w:fill="auto" w:val="clear"/>
                                  <w:vAlign w:val="center"/>
                                </w:tcPr>
                                <w:p>
                                  <w:pPr>
                                    <w:pStyle w:val="Normal"/>
                                    <w:suppressAutoHyphens w:val="false"/>
                                    <w:rPr/>
                                  </w:pPr>
                                  <w:r>
                                    <w:rPr>
                                      <w:color w:val="000000"/>
                                    </w:rPr>
                                    <w:t>ОСАГО</w:t>
                                  </w:r>
                                </w:p>
                              </w:tc>
                              <w:tc>
                                <w:tcPr>
                                  <w:tcW w:w="2264" w:type="dxa"/>
                                  <w:tcBorders/>
                                  <w:shd w:fill="auto" w:val="clear"/>
                                  <w:vAlign w:val="center"/>
                                </w:tcPr>
                                <w:p>
                                  <w:pPr>
                                    <w:pStyle w:val="Normal"/>
                                    <w:suppressAutoHyphens w:val="false"/>
                                    <w:jc w:val="center"/>
                                    <w:rPr/>
                                  </w:pPr>
                                  <w:r>
                                    <w:rPr>
                                      <w:color w:val="000000"/>
                                    </w:rPr>
                                    <w:t>В течение 10 рабочих дней с даты выставления счёта</w:t>
                                  </w:r>
                                </w:p>
                              </w:tc>
                            </w:tr>
                            <w:tr>
                              <w:trPr>
                                <w:trHeight w:val="472" w:hRule="atLeast"/>
                              </w:trPr>
                              <w:tc>
                                <w:tcPr>
                                  <w:tcW w:w="739" w:type="dxa"/>
                                  <w:tcBorders/>
                                  <w:shd w:fill="auto" w:val="clear"/>
                                  <w:vAlign w:val="center"/>
                                </w:tcPr>
                                <w:p>
                                  <w:pPr>
                                    <w:pStyle w:val="Normal"/>
                                    <w:suppressAutoHyphens w:val="false"/>
                                    <w:jc w:val="center"/>
                                    <w:rPr/>
                                  </w:pPr>
                                  <w:r>
                                    <w:rPr>
                                      <w:bCs/>
                                    </w:rPr>
                                    <w:t>27</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62.20.11</w:t>
                                  </w:r>
                                </w:p>
                              </w:tc>
                              <w:tc>
                                <w:tcPr>
                                  <w:tcW w:w="3568" w:type="dxa"/>
                                  <w:tcBorders/>
                                  <w:shd w:fill="auto" w:val="clear"/>
                                  <w:vAlign w:val="center"/>
                                </w:tcPr>
                                <w:p>
                                  <w:pPr>
                                    <w:pStyle w:val="Normal"/>
                                    <w:suppressAutoHyphens w:val="false"/>
                                    <w:rPr/>
                                  </w:pPr>
                                  <w:r>
                                    <w:rPr>
                                      <w:color w:val="000000"/>
                                    </w:rPr>
                                    <w:t>Сотовая связь</w:t>
                                  </w:r>
                                </w:p>
                              </w:tc>
                              <w:tc>
                                <w:tcPr>
                                  <w:tcW w:w="2264" w:type="dxa"/>
                                  <w:tcBorders/>
                                  <w:shd w:fill="auto" w:val="clear"/>
                                  <w:vAlign w:val="center"/>
                                </w:tcPr>
                                <w:p>
                                  <w:pPr>
                                    <w:pStyle w:val="Normal"/>
                                    <w:suppressAutoHyphens w:val="false"/>
                                    <w:jc w:val="center"/>
                                    <w:rPr/>
                                  </w:pPr>
                                  <w:r>
                                    <w:rPr>
                                      <w:color w:val="000000"/>
                                    </w:rPr>
                                    <w:t>До 20-го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28</w:t>
                                  </w:r>
                                </w:p>
                              </w:tc>
                              <w:tc>
                                <w:tcPr>
                                  <w:tcW w:w="1523" w:type="dxa"/>
                                  <w:tcBorders/>
                                  <w:shd w:fill="auto" w:val="clear"/>
                                </w:tcPr>
                                <w:p>
                                  <w:pPr>
                                    <w:pStyle w:val="Normal"/>
                                    <w:suppressAutoHyphens w:val="false"/>
                                    <w:jc w:val="center"/>
                                    <w:rPr>
                                      <w:highlight w:val="white"/>
                                    </w:rPr>
                                  </w:pPr>
                                  <w:r>
                                    <w:rPr>
                                      <w:shd w:fill="FFFFFF" w:val="clear"/>
                                    </w:rPr>
                                  </w:r>
                                </w:p>
                                <w:p>
                                  <w:pPr>
                                    <w:pStyle w:val="Normal"/>
                                    <w:suppressAutoHyphens w:val="false"/>
                                    <w:jc w:val="center"/>
                                    <w:rPr/>
                                  </w:pPr>
                                  <w:r>
                                    <w:rPr>
                                      <w:shd w:fill="FFFFFF" w:val="clear"/>
                                    </w:rPr>
                                    <w:t>61.90.10.140</w:t>
                                  </w:r>
                                </w:p>
                              </w:tc>
                              <w:tc>
                                <w:tcPr>
                                  <w:tcW w:w="3568" w:type="dxa"/>
                                  <w:tcBorders/>
                                  <w:shd w:fill="auto" w:val="clear"/>
                                  <w:vAlign w:val="center"/>
                                </w:tcPr>
                                <w:p>
                                  <w:pPr>
                                    <w:pStyle w:val="Normal"/>
                                    <w:suppressAutoHyphens w:val="false"/>
                                    <w:rPr/>
                                  </w:pPr>
                                  <w:r>
                                    <w:rPr>
                                      <w:color w:val="000000"/>
                                    </w:rPr>
                                    <w:t>Телефонная связь и интернет</w:t>
                                  </w:r>
                                </w:p>
                              </w:tc>
                              <w:tc>
                                <w:tcPr>
                                  <w:tcW w:w="2264" w:type="dxa"/>
                                  <w:tcBorders/>
                                  <w:shd w:fill="auto" w:val="clear"/>
                                  <w:vAlign w:val="center"/>
                                </w:tcPr>
                                <w:p>
                                  <w:pPr>
                                    <w:pStyle w:val="Normal"/>
                                    <w:suppressAutoHyphens w:val="false"/>
                                    <w:jc w:val="center"/>
                                    <w:rPr/>
                                  </w:pPr>
                                  <w:r>
                                    <w:rPr>
                                      <w:color w:val="000000"/>
                                    </w:rPr>
                                    <w:t>До 30-го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29</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33.13.12.000</w:t>
                                  </w:r>
                                </w:p>
                              </w:tc>
                              <w:tc>
                                <w:tcPr>
                                  <w:tcW w:w="3568" w:type="dxa"/>
                                  <w:tcBorders/>
                                  <w:shd w:fill="auto" w:val="clear"/>
                                  <w:vAlign w:val="center"/>
                                </w:tcPr>
                                <w:p>
                                  <w:pPr>
                                    <w:pStyle w:val="Normal"/>
                                    <w:suppressAutoHyphens w:val="false"/>
                                    <w:rPr/>
                                  </w:pPr>
                                  <w:r>
                                    <w:rPr>
                                      <w:color w:val="000000"/>
                                    </w:rPr>
                                    <w:t>Техническое обслуживание и ремонт медицинской техники</w:t>
                                  </w:r>
                                </w:p>
                              </w:tc>
                              <w:tc>
                                <w:tcPr>
                                  <w:tcW w:w="2264" w:type="dxa"/>
                                  <w:tcBorders/>
                                  <w:shd w:fill="auto" w:val="clear"/>
                                  <w:vAlign w:val="center"/>
                                </w:tcPr>
                                <w:p>
                                  <w:pPr>
                                    <w:pStyle w:val="Normal"/>
                                    <w:suppressAutoHyphens w:val="false"/>
                                    <w:jc w:val="center"/>
                                    <w:rPr/>
                                  </w:pPr>
                                  <w:r>
                                    <w:rPr>
                                      <w:color w:val="000000"/>
                                    </w:rPr>
                                    <w:t>В течение 10 рабочих дней с момента подписания акта</w:t>
                                  </w:r>
                                </w:p>
                              </w:tc>
                            </w:tr>
                            <w:tr>
                              <w:trPr>
                                <w:trHeight w:val="472" w:hRule="atLeast"/>
                              </w:trPr>
                              <w:tc>
                                <w:tcPr>
                                  <w:tcW w:w="739" w:type="dxa"/>
                                  <w:tcBorders/>
                                  <w:shd w:fill="auto" w:val="clear"/>
                                  <w:vAlign w:val="center"/>
                                </w:tcPr>
                                <w:p>
                                  <w:pPr>
                                    <w:pStyle w:val="Normal"/>
                                    <w:suppressAutoHyphens w:val="false"/>
                                    <w:jc w:val="center"/>
                                    <w:rPr/>
                                  </w:pPr>
                                  <w:r>
                                    <w:rPr>
                                      <w:bCs/>
                                    </w:rPr>
                                    <w:t>30</w:t>
                                  </w:r>
                                </w:p>
                              </w:tc>
                              <w:tc>
                                <w:tcPr>
                                  <w:tcW w:w="1523" w:type="dxa"/>
                                  <w:tcBorders/>
                                  <w:shd w:fill="auto" w:val="clear"/>
                                </w:tcPr>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68.32.11</w:t>
                                  </w:r>
                                </w:p>
                                <w:p>
                                  <w:pPr>
                                    <w:pStyle w:val="Normal"/>
                                    <w:suppressAutoHyphens w:val="false"/>
                                    <w:jc w:val="center"/>
                                    <w:rPr>
                                      <w:color w:val="000000"/>
                                    </w:rPr>
                                  </w:pPr>
                                  <w:r>
                                    <w:rPr>
                                      <w:color w:val="000000"/>
                                    </w:rPr>
                                  </w:r>
                                </w:p>
                              </w:tc>
                              <w:tc>
                                <w:tcPr>
                                  <w:tcW w:w="3568" w:type="dxa"/>
                                  <w:tcBorders/>
                                  <w:shd w:fill="auto" w:val="clear"/>
                                  <w:vAlign w:val="center"/>
                                </w:tcPr>
                                <w:p>
                                  <w:pPr>
                                    <w:pStyle w:val="Normal"/>
                                    <w:suppressAutoHyphens w:val="false"/>
                                    <w:rPr/>
                                  </w:pPr>
                                  <w:r>
                                    <w:rPr>
                                      <w:color w:val="000000"/>
                                    </w:rPr>
                                    <w:t>Содержание и ремонт общего имущества в многоквартирном доме</w:t>
                                  </w:r>
                                </w:p>
                              </w:tc>
                              <w:tc>
                                <w:tcPr>
                                  <w:tcW w:w="2264" w:type="dxa"/>
                                  <w:tcBorders/>
                                  <w:shd w:fill="auto" w:val="clear"/>
                                  <w:vAlign w:val="center"/>
                                </w:tcPr>
                                <w:p>
                                  <w:pPr>
                                    <w:pStyle w:val="Normal"/>
                                    <w:suppressAutoHyphens w:val="false"/>
                                    <w:jc w:val="center"/>
                                    <w:rPr/>
                                  </w:pPr>
                                  <w:r>
                                    <w:rPr>
                                      <w:color w:val="000000"/>
                                    </w:rPr>
                                    <w:t>До 10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bookmarkStart w:id="198" w:name="__UnoMark__3752_3688087547"/>
                                  <w:bookmarkEnd w:id="198"/>
                                  <w:r>
                                    <w:rPr>
                                      <w:bCs/>
                                    </w:rPr>
                                    <w:t>31</w:t>
                                  </w:r>
                                  <w:bookmarkStart w:id="199" w:name="__UnoMark__3753_3688087547"/>
                                  <w:bookmarkEnd w:id="199"/>
                                </w:p>
                              </w:tc>
                              <w:tc>
                                <w:tcPr>
                                  <w:tcW w:w="1523" w:type="dxa"/>
                                  <w:tcBorders/>
                                  <w:shd w:fill="auto" w:val="clear"/>
                                </w:tcPr>
                                <w:p>
                                  <w:pPr>
                                    <w:pStyle w:val="1"/>
                                    <w:numPr>
                                      <w:ilvl w:val="0"/>
                                      <w:numId w:val="0"/>
                                    </w:numPr>
                                    <w:shd w:val="clear" w:color="auto" w:fill="FFFFFF"/>
                                    <w:suppressAutoHyphens w:val="false"/>
                                    <w:spacing w:before="75" w:after="150"/>
                                    <w:jc w:val="center"/>
                                    <w:outlineLvl w:val="0"/>
                                    <w:rPr>
                                      <w:rFonts w:ascii="Times New Roman" w:hAnsi="Times New Roman" w:cs="Times New Roman"/>
                                      <w:color w:val="333333"/>
                                      <w:sz w:val="24"/>
                                      <w:szCs w:val="24"/>
                                    </w:rPr>
                                  </w:pPr>
                                  <w:r>
                                    <w:rPr>
                                      <w:rFonts w:cs="Times New Roman" w:ascii="Times New Roman" w:hAnsi="Times New Roman"/>
                                      <w:color w:val="333333"/>
                                      <w:sz w:val="24"/>
                                      <w:szCs w:val="24"/>
                                    </w:rPr>
                                  </w:r>
                                  <w:bookmarkStart w:id="200" w:name="__UnoMark__3754_3688087547"/>
                                  <w:bookmarkStart w:id="201" w:name="__UnoMark__3754_3688087547"/>
                                  <w:bookmarkEnd w:id="201"/>
                                </w:p>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46.18.11.110</w:t>
                                  </w:r>
                                  <w:bookmarkStart w:id="202" w:name="__UnoMark__3755_3688087547"/>
                                  <w:bookmarkEnd w:id="202"/>
                                </w:p>
                              </w:tc>
                              <w:tc>
                                <w:tcPr>
                                  <w:tcW w:w="3568" w:type="dxa"/>
                                  <w:tcBorders/>
                                  <w:shd w:fill="auto" w:val="clear"/>
                                  <w:vAlign w:val="center"/>
                                </w:tcPr>
                                <w:p>
                                  <w:pPr>
                                    <w:pStyle w:val="Normal"/>
                                    <w:suppressAutoHyphens w:val="false"/>
                                    <w:rPr/>
                                  </w:pPr>
                                  <w:bookmarkStart w:id="203" w:name="__UnoMark__3756_3688087547"/>
                                  <w:bookmarkEnd w:id="203"/>
                                  <w:r>
                                    <w:rPr>
                                      <w:color w:val="000000"/>
                                    </w:rPr>
                                    <w:t>Услуги по оптовой торговле фармацевтической продукцией за вознаграждение или на договорной основе</w:t>
                                  </w:r>
                                  <w:bookmarkStart w:id="204" w:name="__UnoMark__3757_3688087547"/>
                                  <w:bookmarkEnd w:id="204"/>
                                </w:p>
                              </w:tc>
                              <w:tc>
                                <w:tcPr>
                                  <w:tcW w:w="2264" w:type="dxa"/>
                                  <w:tcBorders/>
                                  <w:shd w:fill="auto" w:val="clear"/>
                                  <w:vAlign w:val="center"/>
                                </w:tcPr>
                                <w:p>
                                  <w:pPr>
                                    <w:pStyle w:val="Normal"/>
                                    <w:suppressAutoHyphens w:val="false"/>
                                    <w:jc w:val="center"/>
                                    <w:rPr/>
                                  </w:pPr>
                                  <w:bookmarkStart w:id="205" w:name="__UnoMark__3758_3688087547"/>
                                  <w:bookmarkEnd w:id="205"/>
                                  <w:r>
                                    <w:rPr>
                                      <w:bCs/>
                                    </w:rPr>
                                    <w:t>В течение 60 календарных дней</w:t>
                                  </w:r>
                                </w:p>
                              </w:tc>
                            </w:tr>
                          </w:tbl>
                        </w:txbxContent>
                      </wps:txbx>
                      <wps:bodyPr anchor="t" lIns="0" tIns="0" rIns="0" bIns="0">
                        <a:spAutoFit/>
                      </wps:bodyPr>
                    </wps:wsp>
                  </a:graphicData>
                </a:graphic>
              </wp:anchor>
            </w:drawing>
          </mc:Choice>
          <mc:Fallback>
            <w:pict>
              <v:rect style="position:absolute;rotation:0;width:404.75pt;height:841.9pt;mso-wrap-distance-left:9.05pt;mso-wrap-distance-right:9.05pt;mso-wrap-distance-top:0pt;mso-wrap-distance-bottom:0pt;margin-top:1.05pt;mso-position-vertical-relative:text;margin-left:111.05pt;mso-position-horizontal-relative:page">
                <v:textbox inset="0in,0in,0in,0in">
                  <w:txbxContent>
                    <w:tbl>
                      <w:tblPr>
                        <w:tblStyle w:val="aff"/>
                        <w:tblpPr w:bottomFromText="0" w:horzAnchor="page" w:leftFromText="181" w:rightFromText="181" w:tblpX="2334" w:tblpY="21" w:topFromText="0" w:vertAnchor="text"/>
                        <w:tblW w:w="8095" w:type="dxa"/>
                        <w:jc w:val="left"/>
                        <w:tblInd w:w="0" w:type="dxa"/>
                        <w:tblCellMar>
                          <w:top w:w="0" w:type="dxa"/>
                          <w:left w:w="103" w:type="dxa"/>
                          <w:bottom w:w="0" w:type="dxa"/>
                          <w:right w:w="108" w:type="dxa"/>
                        </w:tblCellMar>
                        <w:tblLook w:noVBand="1" w:val="04a0" w:noHBand="0" w:lastColumn="0" w:firstColumn="1" w:lastRow="0" w:firstRow="1"/>
                      </w:tblPr>
                      <w:tblGrid>
                        <w:gridCol w:w="739"/>
                        <w:gridCol w:w="1523"/>
                        <w:gridCol w:w="3568"/>
                        <w:gridCol w:w="2264"/>
                      </w:tblGrid>
                      <w:tr>
                        <w:trPr>
                          <w:trHeight w:val="1415" w:hRule="atLeast"/>
                        </w:trPr>
                        <w:tc>
                          <w:tcPr>
                            <w:tcW w:w="739" w:type="dxa"/>
                            <w:tcBorders/>
                            <w:shd w:fill="auto" w:val="clear"/>
                            <w:vAlign w:val="center"/>
                          </w:tcPr>
                          <w:p>
                            <w:pPr>
                              <w:pStyle w:val="Normal"/>
                              <w:suppressAutoHyphens w:val="false"/>
                              <w:jc w:val="center"/>
                              <w:rPr/>
                            </w:pPr>
                            <w:r>
                              <w:rPr>
                                <w:bCs/>
                              </w:rPr>
                              <w:t xml:space="preserve">№ </w:t>
                            </w:r>
                            <w:r>
                              <w:rPr>
                                <w:bCs/>
                              </w:rPr>
                              <w:t>п/п</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pPr>
                            <w:r>
                              <w:rPr>
                                <w:bCs/>
                              </w:rPr>
                              <w:t>Код</w:t>
                            </w:r>
                          </w:p>
                          <w:p>
                            <w:pPr>
                              <w:pStyle w:val="Normal"/>
                              <w:suppressAutoHyphens w:val="false"/>
                              <w:jc w:val="center"/>
                              <w:rPr/>
                            </w:pPr>
                            <w:r>
                              <w:rPr>
                                <w:bCs/>
                              </w:rPr>
                              <w:t>ОКПД2</w:t>
                            </w:r>
                          </w:p>
                        </w:tc>
                        <w:tc>
                          <w:tcPr>
                            <w:tcW w:w="3568" w:type="dxa"/>
                            <w:tcBorders/>
                            <w:shd w:fill="auto" w:val="clear"/>
                          </w:tcPr>
                          <w:p>
                            <w:pPr>
                              <w:pStyle w:val="Normal"/>
                              <w:suppressAutoHyphens w:val="false"/>
                              <w:jc w:val="center"/>
                              <w:rPr>
                                <w:bCs/>
                              </w:rPr>
                            </w:pPr>
                            <w:r>
                              <w:rPr>
                                <w:bCs/>
                              </w:rPr>
                            </w:r>
                          </w:p>
                          <w:p>
                            <w:pPr>
                              <w:pStyle w:val="Normal"/>
                              <w:suppressAutoHyphens w:val="false"/>
                              <w:jc w:val="center"/>
                              <w:rPr>
                                <w:bCs/>
                              </w:rPr>
                            </w:pPr>
                            <w:r>
                              <w:rPr>
                                <w:bCs/>
                              </w:rPr>
                            </w:r>
                          </w:p>
                          <w:p>
                            <w:pPr>
                              <w:pStyle w:val="Normal"/>
                              <w:suppressAutoHyphens w:val="false"/>
                              <w:jc w:val="center"/>
                              <w:rPr/>
                            </w:pPr>
                            <w:r>
                              <w:rPr>
                                <w:bCs/>
                              </w:rPr>
                              <w:t>Предмет договора</w:t>
                            </w:r>
                          </w:p>
                        </w:tc>
                        <w:tc>
                          <w:tcPr>
                            <w:tcW w:w="2264" w:type="dxa"/>
                            <w:tcBorders/>
                            <w:shd w:fill="auto" w:val="clear"/>
                            <w:vAlign w:val="center"/>
                          </w:tcPr>
                          <w:p>
                            <w:pPr>
                              <w:pStyle w:val="Normal"/>
                              <w:suppressAutoHyphens w:val="false"/>
                              <w:jc w:val="center"/>
                              <w:rPr/>
                            </w:pPr>
                            <w:r>
                              <w:rPr>
                                <w:bCs/>
                              </w:rPr>
                              <w:t>Срок оплаты по договору</w:t>
                            </w:r>
                          </w:p>
                        </w:tc>
                      </w:tr>
                      <w:tr>
                        <w:trPr>
                          <w:trHeight w:val="472" w:hRule="atLeast"/>
                        </w:trPr>
                        <w:tc>
                          <w:tcPr>
                            <w:tcW w:w="739" w:type="dxa"/>
                            <w:tcBorders/>
                            <w:shd w:fill="auto" w:val="clear"/>
                            <w:vAlign w:val="center"/>
                          </w:tcPr>
                          <w:p>
                            <w:pPr>
                              <w:pStyle w:val="Normal"/>
                              <w:suppressAutoHyphens w:val="false"/>
                              <w:jc w:val="center"/>
                              <w:rPr/>
                            </w:pPr>
                            <w:r>
                              <w:rPr>
                                <w:bCs/>
                              </w:rPr>
                              <w:t>1</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color w:val="000000"/>
                              </w:rPr>
                            </w:pPr>
                            <w:r>
                              <w:rPr>
                                <w:color w:val="000000"/>
                              </w:rPr>
                            </w:r>
                          </w:p>
                          <w:p>
                            <w:pPr>
                              <w:pStyle w:val="Normal"/>
                              <w:suppressAutoHyphens w:val="false"/>
                              <w:jc w:val="center"/>
                              <w:rPr/>
                            </w:pPr>
                            <w:r>
                              <w:rPr>
                                <w:color w:val="000000"/>
                              </w:rPr>
                              <w:t>21</w:t>
                            </w:r>
                          </w:p>
                        </w:tc>
                        <w:tc>
                          <w:tcPr>
                            <w:tcW w:w="3568" w:type="dxa"/>
                            <w:tcBorders/>
                            <w:shd w:fill="auto" w:val="clear"/>
                            <w:vAlign w:val="center"/>
                          </w:tcPr>
                          <w:p>
                            <w:pPr>
                              <w:pStyle w:val="Normal"/>
                              <w:suppressAutoHyphens w:val="false"/>
                              <w:rPr/>
                            </w:pPr>
                            <w:r>
                              <w:rPr>
                                <w:color w:val="000000"/>
                              </w:rPr>
                              <w:t>Лекарственные препараты, медицинские изделия, дезинфицирующие средства, предметы и средства личной гигиены, предметы и средства, предназначенные для ухода за больными, новорожденными и детьми, не достигшими возраста трех лет, средства ухода за очковой оптикой, минеральные воды, продукты лечебного, детского и диетического питания, биологически активные добавки, парфюмерные и косметические средства</w:t>
                            </w:r>
                          </w:p>
                        </w:tc>
                        <w:tc>
                          <w:tcPr>
                            <w:tcW w:w="2264" w:type="dxa"/>
                            <w:tcBorders/>
                            <w:shd w:fill="auto" w:val="clear"/>
                            <w:vAlign w:val="center"/>
                          </w:tcPr>
                          <w:p>
                            <w:pPr>
                              <w:pStyle w:val="Normal"/>
                              <w:suppressAutoHyphens w:val="false"/>
                              <w:jc w:val="center"/>
                              <w:rPr/>
                            </w:pPr>
                            <w:r>
                              <w:rPr>
                                <w:bCs/>
                              </w:rPr>
                              <w:t>В течение 60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rPr>
                              <w:t>2</w:t>
                            </w:r>
                          </w:p>
                        </w:tc>
                        <w:tc>
                          <w:tcPr>
                            <w:tcW w:w="1523" w:type="dxa"/>
                            <w:tcBorders/>
                            <w:shd w:fill="auto" w:val="clear"/>
                          </w:tcPr>
                          <w:p>
                            <w:pPr>
                              <w:pStyle w:val="Normal"/>
                              <w:suppressAutoHyphens w:val="false"/>
                              <w:jc w:val="center"/>
                              <w:rPr>
                                <w:rFonts w:eastAsia="Calibri" w:eastAsiaTheme="minorHAnsi"/>
                                <w:lang w:eastAsia="en-US"/>
                              </w:rPr>
                            </w:pPr>
                            <w:r>
                              <w:rPr>
                                <w:rFonts w:eastAsia="Calibri" w:eastAsiaTheme="minorHAnsi"/>
                                <w:lang w:eastAsia="en-US"/>
                              </w:rPr>
                            </w:r>
                          </w:p>
                          <w:p>
                            <w:pPr>
                              <w:pStyle w:val="Normal"/>
                              <w:suppressAutoHyphens w:val="false"/>
                              <w:jc w:val="center"/>
                              <w:rPr/>
                            </w:pPr>
                            <w:r>
                              <w:rPr>
                                <w:rFonts w:eastAsia="Calibri" w:eastAsiaTheme="minorHAnsi"/>
                                <w:lang w:eastAsia="en-US"/>
                              </w:rPr>
                              <w:t>68.31.16</w:t>
                            </w:r>
                          </w:p>
                          <w:p>
                            <w:pPr>
                              <w:pStyle w:val="Normal"/>
                              <w:suppressAutoHyphens w:val="false"/>
                              <w:jc w:val="center"/>
                              <w:rPr>
                                <w:rStyle w:val="FontStyle26"/>
                                <w:rFonts w:eastAsia="Calibri"/>
                              </w:rPr>
                            </w:pPr>
                            <w:r>
                              <w:rPr>
                                <w:rFonts w:eastAsia="Calibri"/>
                              </w:rPr>
                            </w:r>
                          </w:p>
                        </w:tc>
                        <w:tc>
                          <w:tcPr>
                            <w:tcW w:w="3568" w:type="dxa"/>
                            <w:tcBorders/>
                            <w:shd w:fill="auto" w:val="clear"/>
                            <w:vAlign w:val="center"/>
                          </w:tcPr>
                          <w:p>
                            <w:pPr>
                              <w:pStyle w:val="Normal"/>
                              <w:suppressAutoHyphens w:val="false"/>
                              <w:rPr/>
                            </w:pPr>
                            <w:r>
                              <w:rPr>
                                <w:rStyle w:val="FontStyle26"/>
                                <w:rFonts w:eastAsia="Calibri"/>
                              </w:rPr>
                              <w:t>Проведени</w:t>
                            </w:r>
                            <w:r>
                              <w:rPr>
                                <w:rStyle w:val="FontStyle26"/>
                              </w:rPr>
                              <w:t>е</w:t>
                            </w:r>
                            <w:r>
                              <w:rPr>
                                <w:rStyle w:val="FontStyle26"/>
                                <w:rFonts w:eastAsia="Calibri"/>
                              </w:rPr>
                              <w:t xml:space="preserve"> оценки рыночной стоимости </w:t>
                            </w:r>
                            <w:r>
                              <w:rPr>
                                <w:rFonts w:eastAsia="Calibri"/>
                              </w:rPr>
                              <w:t>объекта недвижимого имущества</w:t>
                            </w:r>
                          </w:p>
                        </w:tc>
                        <w:tc>
                          <w:tcPr>
                            <w:tcW w:w="2264" w:type="dxa"/>
                            <w:tcBorders/>
                            <w:shd w:fill="auto" w:val="clear"/>
                            <w:vAlign w:val="center"/>
                          </w:tcPr>
                          <w:p>
                            <w:pPr>
                              <w:pStyle w:val="Normal"/>
                              <w:suppressAutoHyphens w:val="false"/>
                              <w:jc w:val="center"/>
                              <w:rPr/>
                            </w:pPr>
                            <w:r>
                              <w:rPr>
                                <w:bCs/>
                              </w:rPr>
                              <w:t>не более10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lang w:val="en-US"/>
                              </w:rPr>
                              <w:t>3</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pPr>
                            <w:r>
                              <w:rPr>
                                <w:bCs/>
                              </w:rPr>
                              <w:t>47.99.50</w:t>
                            </w:r>
                          </w:p>
                          <w:p>
                            <w:pPr>
                              <w:pStyle w:val="Normal"/>
                              <w:suppressAutoHyphens w:val="false"/>
                              <w:jc w:val="center"/>
                              <w:rPr>
                                <w:bCs/>
                              </w:rPr>
                            </w:pPr>
                            <w:r>
                              <w:rPr>
                                <w:bCs/>
                              </w:rPr>
                            </w:r>
                          </w:p>
                        </w:tc>
                        <w:tc>
                          <w:tcPr>
                            <w:tcW w:w="3568" w:type="dxa"/>
                            <w:tcBorders/>
                            <w:shd w:fill="auto" w:val="clear"/>
                            <w:vAlign w:val="center"/>
                          </w:tcPr>
                          <w:p>
                            <w:pPr>
                              <w:pStyle w:val="Normal"/>
                              <w:suppressAutoHyphens w:val="false"/>
                              <w:rPr/>
                            </w:pPr>
                            <w:r>
                              <w:rPr>
                                <w:bCs/>
                              </w:rPr>
                              <w:t xml:space="preserve">Реализация лекарственных препаратов и товаров аптечного ассортимента через обособленные подразделения Комитента  </w:t>
                            </w:r>
                          </w:p>
                        </w:tc>
                        <w:tc>
                          <w:tcPr>
                            <w:tcW w:w="2264" w:type="dxa"/>
                            <w:tcBorders/>
                            <w:shd w:fill="auto" w:val="clear"/>
                            <w:vAlign w:val="center"/>
                          </w:tcPr>
                          <w:p>
                            <w:pPr>
                              <w:pStyle w:val="Normal"/>
                              <w:suppressAutoHyphens w:val="false"/>
                              <w:jc w:val="center"/>
                              <w:rPr/>
                            </w:pPr>
                            <w:r>
                              <w:rPr>
                                <w:bCs/>
                              </w:rPr>
                              <w:t>не более 10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lang w:val="en-US"/>
                              </w:rPr>
                              <w:t>4</w:t>
                            </w:r>
                            <w:r>
                              <w:rPr>
                                <w:bCs/>
                              </w:rPr>
                              <w:t xml:space="preserve"> </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bCs/>
                              </w:rPr>
                            </w:pPr>
                            <w:r>
                              <w:rPr>
                                <w:bCs/>
                              </w:rPr>
                            </w:r>
                          </w:p>
                          <w:p>
                            <w:pPr>
                              <w:pStyle w:val="Normal"/>
                              <w:suppressAutoHyphens w:val="false"/>
                              <w:jc w:val="center"/>
                              <w:rPr/>
                            </w:pPr>
                            <w:r>
                              <w:rPr>
                                <w:bCs/>
                              </w:rPr>
                              <w:t>38.1</w:t>
                            </w:r>
                          </w:p>
                        </w:tc>
                        <w:tc>
                          <w:tcPr>
                            <w:tcW w:w="3568" w:type="dxa"/>
                            <w:tcBorders/>
                            <w:shd w:fill="auto" w:val="clear"/>
                            <w:vAlign w:val="center"/>
                          </w:tcPr>
                          <w:p>
                            <w:pPr>
                              <w:pStyle w:val="Normal"/>
                              <w:suppressAutoHyphens w:val="false"/>
                              <w:rPr/>
                            </w:pPr>
                            <w:r>
                              <w:rPr>
                                <w:bCs/>
                              </w:rPr>
                              <w:t>Оказание услуг по организации работ сбора, транспортирования, обработки, утилизации и обезвреживания отходов</w:t>
                            </w:r>
                          </w:p>
                        </w:tc>
                        <w:tc>
                          <w:tcPr>
                            <w:tcW w:w="2264" w:type="dxa"/>
                            <w:tcBorders/>
                            <w:shd w:fill="auto" w:val="clear"/>
                            <w:vAlign w:val="center"/>
                          </w:tcPr>
                          <w:p>
                            <w:pPr>
                              <w:pStyle w:val="Normal"/>
                              <w:suppressAutoHyphens w:val="false"/>
                              <w:jc w:val="center"/>
                              <w:rPr/>
                            </w:pPr>
                            <w:r>
                              <w:rPr>
                                <w:bCs/>
                              </w:rPr>
                              <w:t>в течение 30 календарных дней с момента выставления</w:t>
                            </w:r>
                            <w:r>
                              <w:rPr>
                                <w:bCs/>
                                <w:color w:val="FF0000"/>
                              </w:rPr>
                              <w:t xml:space="preserve"> </w:t>
                            </w:r>
                            <w:r>
                              <w:rPr>
                                <w:bCs/>
                              </w:rPr>
                              <w:t xml:space="preserve">акта выполненных работ </w:t>
                            </w:r>
                          </w:p>
                        </w:tc>
                      </w:tr>
                      <w:tr>
                        <w:trPr>
                          <w:trHeight w:val="472" w:hRule="atLeast"/>
                        </w:trPr>
                        <w:tc>
                          <w:tcPr>
                            <w:tcW w:w="739" w:type="dxa"/>
                            <w:tcBorders/>
                            <w:shd w:fill="auto" w:val="clear"/>
                            <w:vAlign w:val="center"/>
                          </w:tcPr>
                          <w:p>
                            <w:pPr>
                              <w:pStyle w:val="Normal"/>
                              <w:suppressAutoHyphens w:val="false"/>
                              <w:jc w:val="center"/>
                              <w:rPr/>
                            </w:pPr>
                            <w:r>
                              <w:rPr>
                                <w:bCs/>
                                <w:lang w:val="en-US"/>
                              </w:rPr>
                              <w:t>5</w:t>
                            </w:r>
                          </w:p>
                        </w:tc>
                        <w:tc>
                          <w:tcPr>
                            <w:tcW w:w="1523" w:type="dxa"/>
                            <w:tcBorders/>
                            <w:shd w:fill="auto" w:val="clear"/>
                          </w:tcPr>
                          <w:p>
                            <w:pPr>
                              <w:pStyle w:val="Normal"/>
                              <w:suppressAutoHyphens w:val="false"/>
                              <w:jc w:val="center"/>
                              <w:rPr>
                                <w:color w:val="000000"/>
                                <w:highlight w:val="white"/>
                              </w:rPr>
                            </w:pPr>
                            <w:r>
                              <w:rPr>
                                <w:color w:val="000000"/>
                                <w:shd w:fill="FFFFFF" w:val="clear"/>
                              </w:rPr>
                            </w:r>
                          </w:p>
                          <w:p>
                            <w:pPr>
                              <w:pStyle w:val="Normal"/>
                              <w:suppressAutoHyphens w:val="false"/>
                              <w:jc w:val="center"/>
                              <w:rPr>
                                <w:color w:val="000000"/>
                                <w:highlight w:val="white"/>
                              </w:rPr>
                            </w:pPr>
                            <w:r>
                              <w:rPr>
                                <w:color w:val="000000"/>
                                <w:shd w:fill="FFFFFF" w:val="clear"/>
                              </w:rPr>
                            </w:r>
                          </w:p>
                          <w:p>
                            <w:pPr>
                              <w:pStyle w:val="Normal"/>
                              <w:suppressAutoHyphens w:val="false"/>
                              <w:jc w:val="center"/>
                              <w:rPr/>
                            </w:pPr>
                            <w:r>
                              <w:rPr>
                                <w:color w:val="000000"/>
                                <w:shd w:fill="FFFFFF" w:val="clear"/>
                              </w:rPr>
                              <w:t>71.20.11.190</w:t>
                            </w:r>
                          </w:p>
                        </w:tc>
                        <w:tc>
                          <w:tcPr>
                            <w:tcW w:w="3568" w:type="dxa"/>
                            <w:tcBorders/>
                            <w:shd w:fill="auto" w:val="clear"/>
                            <w:vAlign w:val="center"/>
                          </w:tcPr>
                          <w:p>
                            <w:pPr>
                              <w:pStyle w:val="Normal"/>
                              <w:suppressAutoHyphens w:val="false"/>
                              <w:rPr/>
                            </w:pPr>
                            <w:r>
                              <w:rPr>
                                <w:bCs/>
                              </w:rPr>
                              <w:t xml:space="preserve">Производственный контроль: исследование физических факторов в аптечных организациях </w:t>
                            </w:r>
                          </w:p>
                        </w:tc>
                        <w:tc>
                          <w:tcPr>
                            <w:tcW w:w="2264" w:type="dxa"/>
                            <w:tcBorders/>
                            <w:shd w:fill="auto" w:val="clear"/>
                            <w:vAlign w:val="center"/>
                          </w:tcPr>
                          <w:p>
                            <w:pPr>
                              <w:pStyle w:val="Normal"/>
                              <w:suppressAutoHyphens w:val="false"/>
                              <w:jc w:val="center"/>
                              <w:rPr/>
                            </w:pPr>
                            <w:r>
                              <w:rPr>
                                <w:bCs/>
                              </w:rPr>
                              <w:t xml:space="preserve">в течение 15 рабочих   дней с момента   подписания акта приема – сдачи   оказанных услуг   </w:t>
                            </w:r>
                          </w:p>
                        </w:tc>
                      </w:tr>
                      <w:tr>
                        <w:trPr>
                          <w:trHeight w:val="472" w:hRule="atLeast"/>
                        </w:trPr>
                        <w:tc>
                          <w:tcPr>
                            <w:tcW w:w="739" w:type="dxa"/>
                            <w:tcBorders/>
                            <w:shd w:fill="auto" w:val="clear"/>
                            <w:vAlign w:val="center"/>
                          </w:tcPr>
                          <w:p>
                            <w:pPr>
                              <w:pStyle w:val="Normal"/>
                              <w:suppressAutoHyphens w:val="false"/>
                              <w:jc w:val="center"/>
                              <w:rPr/>
                            </w:pPr>
                            <w:r>
                              <w:rPr>
                                <w:bCs/>
                              </w:rPr>
                              <w:t>6</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29.32.30</w:t>
                            </w:r>
                          </w:p>
                        </w:tc>
                        <w:tc>
                          <w:tcPr>
                            <w:tcW w:w="3568" w:type="dxa"/>
                            <w:tcBorders/>
                            <w:shd w:fill="auto" w:val="clear"/>
                            <w:vAlign w:val="center"/>
                          </w:tcPr>
                          <w:p>
                            <w:pPr>
                              <w:pStyle w:val="Normal"/>
                              <w:suppressAutoHyphens w:val="false"/>
                              <w:rPr/>
                            </w:pPr>
                            <w:r>
                              <w:rPr>
                                <w:color w:val="000000"/>
                              </w:rPr>
                              <w:t xml:space="preserve">Поставка автомобильных запчастей </w:t>
                            </w:r>
                          </w:p>
                        </w:tc>
                        <w:tc>
                          <w:tcPr>
                            <w:tcW w:w="2264" w:type="dxa"/>
                            <w:tcBorders/>
                            <w:shd w:fill="auto" w:val="clear"/>
                            <w:vAlign w:val="center"/>
                          </w:tcPr>
                          <w:p>
                            <w:pPr>
                              <w:pStyle w:val="Normal"/>
                              <w:suppressAutoHyphens w:val="false"/>
                              <w:jc w:val="center"/>
                              <w:rPr/>
                            </w:pPr>
                            <w:r>
                              <w:rPr>
                                <w:bCs/>
                              </w:rPr>
                              <w:t>не более 14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rPr>
                              <w:t>7</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45.20.1</w:t>
                            </w:r>
                          </w:p>
                        </w:tc>
                        <w:tc>
                          <w:tcPr>
                            <w:tcW w:w="3568" w:type="dxa"/>
                            <w:tcBorders/>
                            <w:shd w:fill="auto" w:val="clear"/>
                            <w:vAlign w:val="center"/>
                          </w:tcPr>
                          <w:p>
                            <w:pPr>
                              <w:pStyle w:val="Normal"/>
                              <w:suppressAutoHyphens w:val="false"/>
                              <w:rPr/>
                            </w:pPr>
                            <w:r>
                              <w:rPr>
                                <w:color w:val="000000"/>
                              </w:rPr>
                              <w:t>Ремонт автомобильного транспорта предприятия</w:t>
                            </w:r>
                          </w:p>
                        </w:tc>
                        <w:tc>
                          <w:tcPr>
                            <w:tcW w:w="2264" w:type="dxa"/>
                            <w:tcBorders/>
                            <w:shd w:fill="auto" w:val="clear"/>
                            <w:vAlign w:val="center"/>
                          </w:tcPr>
                          <w:p>
                            <w:pPr>
                              <w:pStyle w:val="Normal"/>
                              <w:suppressAutoHyphens w:val="false"/>
                              <w:jc w:val="center"/>
                              <w:rPr/>
                            </w:pPr>
                            <w:r>
                              <w:rPr>
                                <w:bCs/>
                              </w:rPr>
                              <w:t>не более 14 календарных</w:t>
                            </w:r>
                          </w:p>
                        </w:tc>
                      </w:tr>
                      <w:tr>
                        <w:trPr>
                          <w:trHeight w:val="472" w:hRule="atLeast"/>
                        </w:trPr>
                        <w:tc>
                          <w:tcPr>
                            <w:tcW w:w="739" w:type="dxa"/>
                            <w:tcBorders/>
                            <w:shd w:fill="auto" w:val="clear"/>
                            <w:vAlign w:val="center"/>
                          </w:tcPr>
                          <w:p>
                            <w:pPr>
                              <w:pStyle w:val="Normal"/>
                              <w:suppressAutoHyphens w:val="false"/>
                              <w:jc w:val="center"/>
                              <w:rPr/>
                            </w:pPr>
                            <w:r>
                              <w:rPr>
                                <w:bCs/>
                              </w:rPr>
                              <w:t>8</w:t>
                            </w:r>
                          </w:p>
                        </w:tc>
                        <w:tc>
                          <w:tcPr>
                            <w:tcW w:w="1523" w:type="dxa"/>
                            <w:tcBorders/>
                            <w:shd w:fill="auto" w:val="clear"/>
                          </w:tcPr>
                          <w:p>
                            <w:pPr>
                              <w:pStyle w:val="Normal"/>
                              <w:suppressAutoHyphens w:val="false"/>
                              <w:jc w:val="center"/>
                              <w:rPr>
                                <w:highlight w:val="white"/>
                              </w:rPr>
                            </w:pPr>
                            <w:r>
                              <w:rPr>
                                <w:shd w:fill="FFFFFF" w:val="clear"/>
                              </w:rPr>
                            </w:r>
                          </w:p>
                          <w:p>
                            <w:pPr>
                              <w:pStyle w:val="Normal"/>
                              <w:suppressAutoHyphens w:val="false"/>
                              <w:jc w:val="center"/>
                              <w:rPr/>
                            </w:pPr>
                            <w:r>
                              <w:rPr>
                                <w:shd w:fill="FFFFFF" w:val="clear"/>
                              </w:rPr>
                              <w:t>71.20.14</w:t>
                            </w:r>
                          </w:p>
                        </w:tc>
                        <w:tc>
                          <w:tcPr>
                            <w:tcW w:w="3568" w:type="dxa"/>
                            <w:tcBorders/>
                            <w:shd w:fill="auto" w:val="clear"/>
                            <w:vAlign w:val="center"/>
                          </w:tcPr>
                          <w:p>
                            <w:pPr>
                              <w:pStyle w:val="Normal"/>
                              <w:suppressAutoHyphens w:val="false"/>
                              <w:rPr/>
                            </w:pPr>
                            <w:r>
                              <w:rPr>
                                <w:color w:val="000000"/>
                              </w:rPr>
                              <w:t>Прохождение технического осмотра</w:t>
                            </w:r>
                          </w:p>
                        </w:tc>
                        <w:tc>
                          <w:tcPr>
                            <w:tcW w:w="2264" w:type="dxa"/>
                            <w:tcBorders/>
                            <w:shd w:fill="auto" w:val="clear"/>
                            <w:vAlign w:val="center"/>
                          </w:tcPr>
                          <w:p>
                            <w:pPr>
                              <w:pStyle w:val="Normal"/>
                              <w:suppressAutoHyphens w:val="false"/>
                              <w:jc w:val="center"/>
                              <w:rPr/>
                            </w:pPr>
                            <w:r>
                              <w:rPr>
                                <w:bCs/>
                              </w:rPr>
                              <w:t>не более 14 календарных</w:t>
                            </w:r>
                          </w:p>
                        </w:tc>
                      </w:tr>
                      <w:tr>
                        <w:trPr>
                          <w:trHeight w:val="472" w:hRule="atLeast"/>
                        </w:trPr>
                        <w:tc>
                          <w:tcPr>
                            <w:tcW w:w="739" w:type="dxa"/>
                            <w:tcBorders/>
                            <w:shd w:fill="auto" w:val="clear"/>
                            <w:vAlign w:val="center"/>
                          </w:tcPr>
                          <w:p>
                            <w:pPr>
                              <w:pStyle w:val="Normal"/>
                              <w:suppressAutoHyphens w:val="false"/>
                              <w:jc w:val="center"/>
                              <w:rPr/>
                            </w:pPr>
                            <w:r>
                              <w:rPr>
                                <w:bCs/>
                              </w:rPr>
                              <w:t>9</w:t>
                            </w:r>
                          </w:p>
                        </w:tc>
                        <w:tc>
                          <w:tcPr>
                            <w:tcW w:w="1523" w:type="dxa"/>
                            <w:tcBorders/>
                            <w:shd w:fill="auto" w:val="clear"/>
                          </w:tcPr>
                          <w:p>
                            <w:pPr>
                              <w:pStyle w:val="1"/>
                              <w:numPr>
                                <w:ilvl w:val="0"/>
                                <w:numId w:val="0"/>
                              </w:numPr>
                              <w:shd w:val="clear" w:color="auto" w:fill="FFFFFF"/>
                              <w:suppressAutoHyphens w:val="false"/>
                              <w:spacing w:before="75" w:after="150"/>
                              <w:jc w:val="center"/>
                              <w:outlineLvl w:val="0"/>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95.11.10.130</w:t>
                            </w:r>
                          </w:p>
                          <w:p>
                            <w:pPr>
                              <w:pStyle w:val="Normal"/>
                              <w:suppressAutoHyphens w:val="false"/>
                              <w:jc w:val="center"/>
                              <w:rPr>
                                <w:rStyle w:val="FontStyle26"/>
                                <w:sz w:val="24"/>
                              </w:rPr>
                            </w:pPr>
                            <w:r>
                              <w:rPr>
                                <w:sz w:val="24"/>
                              </w:rPr>
                            </w:r>
                          </w:p>
                        </w:tc>
                        <w:tc>
                          <w:tcPr>
                            <w:tcW w:w="3568" w:type="dxa"/>
                            <w:tcBorders/>
                            <w:shd w:fill="auto" w:val="clear"/>
                            <w:vAlign w:val="center"/>
                          </w:tcPr>
                          <w:p>
                            <w:pPr>
                              <w:pStyle w:val="Normal"/>
                              <w:suppressAutoHyphens w:val="false"/>
                              <w:rPr/>
                            </w:pPr>
                            <w:r>
                              <w:rPr>
                                <w:rStyle w:val="FontStyle26"/>
                                <w:sz w:val="24"/>
                                <w:szCs w:val="28"/>
                              </w:rPr>
                              <w:t>Заправка, ремонт и восстановление картриджей</w:t>
                            </w:r>
                          </w:p>
                        </w:tc>
                        <w:tc>
                          <w:tcPr>
                            <w:tcW w:w="2264" w:type="dxa"/>
                            <w:tcBorders/>
                            <w:shd w:fill="auto" w:val="clear"/>
                            <w:vAlign w:val="center"/>
                          </w:tcPr>
                          <w:p>
                            <w:pPr>
                              <w:pStyle w:val="Normal"/>
                              <w:suppressAutoHyphens w:val="false"/>
                              <w:jc w:val="center"/>
                              <w:rPr/>
                            </w:pPr>
                            <w:r>
                              <w:rPr>
                                <w:bCs/>
                              </w:rPr>
                              <w:t>в течение 15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10</w:t>
                            </w:r>
                          </w:p>
                        </w:tc>
                        <w:tc>
                          <w:tcPr>
                            <w:tcW w:w="1523" w:type="dxa"/>
                            <w:tcBorders/>
                            <w:shd w:fill="auto" w:val="clear"/>
                          </w:tcPr>
                          <w:p>
                            <w:pPr>
                              <w:pStyle w:val="Normal"/>
                              <w:suppressAutoHyphens w:val="false"/>
                              <w:jc w:val="center"/>
                              <w:rPr/>
                            </w:pPr>
                            <w:r>
                              <w:rPr>
                                <w:color w:val="333333"/>
                                <w:shd w:fill="FFFFFF" w:val="clear"/>
                              </w:rPr>
                              <w:t>47.62.20.000</w:t>
                            </w:r>
                          </w:p>
                        </w:tc>
                        <w:tc>
                          <w:tcPr>
                            <w:tcW w:w="3568" w:type="dxa"/>
                            <w:tcBorders/>
                            <w:shd w:fill="auto" w:val="clear"/>
                            <w:vAlign w:val="center"/>
                          </w:tcPr>
                          <w:p>
                            <w:pPr>
                              <w:pStyle w:val="Normal"/>
                              <w:suppressAutoHyphens w:val="false"/>
                              <w:rPr/>
                            </w:pPr>
                            <w:r>
                              <w:rPr>
                                <w:bCs/>
                              </w:rPr>
                              <w:t>Поставка канцелярских товаров</w:t>
                            </w:r>
                          </w:p>
                        </w:tc>
                        <w:tc>
                          <w:tcPr>
                            <w:tcW w:w="2264" w:type="dxa"/>
                            <w:tcBorders/>
                            <w:shd w:fill="auto" w:val="clear"/>
                            <w:vAlign w:val="center"/>
                          </w:tcPr>
                          <w:p>
                            <w:pPr>
                              <w:pStyle w:val="Normal"/>
                              <w:suppressAutoHyphens w:val="false"/>
                              <w:jc w:val="center"/>
                              <w:rPr/>
                            </w:pPr>
                            <w:r>
                              <w:rPr>
                                <w:bCs/>
                              </w:rPr>
                              <w:t>в течение 15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11</w:t>
                            </w:r>
                          </w:p>
                        </w:tc>
                        <w:tc>
                          <w:tcPr>
                            <w:tcW w:w="1523" w:type="dxa"/>
                            <w:tcBorders/>
                            <w:shd w:fill="auto" w:val="clear"/>
                          </w:tcPr>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17.22</w:t>
                            </w:r>
                          </w:p>
                          <w:p>
                            <w:pPr>
                              <w:pStyle w:val="Normal"/>
                              <w:suppressAutoHyphens w:val="false"/>
                              <w:jc w:val="center"/>
                              <w:rPr>
                                <w:bCs/>
                              </w:rPr>
                            </w:pPr>
                            <w:r>
                              <w:rPr>
                                <w:bCs/>
                              </w:rPr>
                            </w:r>
                          </w:p>
                        </w:tc>
                        <w:tc>
                          <w:tcPr>
                            <w:tcW w:w="3568" w:type="dxa"/>
                            <w:tcBorders/>
                            <w:shd w:fill="auto" w:val="clear"/>
                            <w:vAlign w:val="center"/>
                          </w:tcPr>
                          <w:p>
                            <w:pPr>
                              <w:pStyle w:val="Normal"/>
                              <w:suppressAutoHyphens w:val="false"/>
                              <w:rPr/>
                            </w:pPr>
                            <w:r>
                              <w:rPr>
                                <w:bCs/>
                              </w:rPr>
                              <w:t>Поставка бытовой химии, хоз.товаров</w:t>
                            </w:r>
                          </w:p>
                        </w:tc>
                        <w:tc>
                          <w:tcPr>
                            <w:tcW w:w="2264" w:type="dxa"/>
                            <w:tcBorders/>
                            <w:shd w:fill="auto" w:val="clear"/>
                            <w:vAlign w:val="center"/>
                          </w:tcPr>
                          <w:p>
                            <w:pPr>
                              <w:pStyle w:val="Normal"/>
                              <w:suppressAutoHyphens w:val="false"/>
                              <w:jc w:val="center"/>
                              <w:rPr/>
                            </w:pPr>
                            <w:r>
                              <w:rPr>
                                <w:bCs/>
                              </w:rPr>
                              <w:t>в течение 15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12</w:t>
                            </w:r>
                          </w:p>
                        </w:tc>
                        <w:tc>
                          <w:tcPr>
                            <w:tcW w:w="1523" w:type="dxa"/>
                            <w:tcBorders/>
                            <w:shd w:fill="auto" w:val="clear"/>
                          </w:tcPr>
                          <w:p>
                            <w:pPr>
                              <w:pStyle w:val="Normal"/>
                              <w:suppressAutoHyphens w:val="false"/>
                              <w:jc w:val="center"/>
                              <w:rPr>
                                <w:color w:val="000000"/>
                                <w:highlight w:val="white"/>
                              </w:rPr>
                            </w:pPr>
                            <w:r>
                              <w:rPr>
                                <w:color w:val="000000"/>
                                <w:shd w:fill="FFFFFF" w:val="clear"/>
                              </w:rPr>
                            </w:r>
                          </w:p>
                          <w:p>
                            <w:pPr>
                              <w:pStyle w:val="Normal"/>
                              <w:suppressAutoHyphens w:val="false"/>
                              <w:jc w:val="center"/>
                              <w:rPr>
                                <w:color w:val="000000"/>
                                <w:highlight w:val="white"/>
                              </w:rPr>
                            </w:pPr>
                            <w:r>
                              <w:rPr>
                                <w:color w:val="000000"/>
                                <w:shd w:fill="FFFFFF" w:val="clear"/>
                              </w:rPr>
                            </w:r>
                          </w:p>
                          <w:p>
                            <w:pPr>
                              <w:pStyle w:val="Normal"/>
                              <w:suppressAutoHyphens w:val="false"/>
                              <w:jc w:val="center"/>
                              <w:rPr/>
                            </w:pPr>
                            <w:r>
                              <w:rPr>
                                <w:color w:val="000000"/>
                                <w:shd w:fill="FFFFFF" w:val="clear"/>
                              </w:rPr>
                              <w:t>80.20.10.000</w:t>
                            </w:r>
                          </w:p>
                        </w:tc>
                        <w:tc>
                          <w:tcPr>
                            <w:tcW w:w="3568" w:type="dxa"/>
                            <w:tcBorders/>
                            <w:shd w:fill="auto" w:val="clear"/>
                            <w:vAlign w:val="center"/>
                          </w:tcPr>
                          <w:p>
                            <w:pPr>
                              <w:pStyle w:val="Normal"/>
                              <w:suppressAutoHyphens w:val="false"/>
                              <w:rPr/>
                            </w:pPr>
                            <w:r>
                              <w:rPr>
                                <w:bCs/>
                              </w:rPr>
                              <w:t>Проведение технического обслуживания внутренних пожарных кранов и пожарного гидранта</w:t>
                            </w:r>
                          </w:p>
                        </w:tc>
                        <w:tc>
                          <w:tcPr>
                            <w:tcW w:w="2264" w:type="dxa"/>
                            <w:tcBorders/>
                            <w:shd w:fill="auto" w:val="clear"/>
                            <w:vAlign w:val="center"/>
                          </w:tcPr>
                          <w:p>
                            <w:pPr>
                              <w:pStyle w:val="Normal"/>
                              <w:suppressAutoHyphens w:val="false"/>
                              <w:jc w:val="center"/>
                              <w:rPr/>
                            </w:pPr>
                            <w:r>
                              <w:rPr>
                                <w:bCs/>
                              </w:rPr>
                              <w:t>в течение 10 рабочих дней с момента исполнения технического обслуживания</w:t>
                            </w:r>
                          </w:p>
                        </w:tc>
                      </w:tr>
                      <w:tr>
                        <w:trPr>
                          <w:trHeight w:val="472" w:hRule="atLeast"/>
                        </w:trPr>
                        <w:tc>
                          <w:tcPr>
                            <w:tcW w:w="739" w:type="dxa"/>
                            <w:tcBorders/>
                            <w:shd w:fill="auto" w:val="clear"/>
                            <w:vAlign w:val="center"/>
                          </w:tcPr>
                          <w:p>
                            <w:pPr>
                              <w:pStyle w:val="Normal"/>
                              <w:suppressAutoHyphens w:val="false"/>
                              <w:jc w:val="center"/>
                              <w:rPr/>
                            </w:pPr>
                            <w:r>
                              <w:rPr>
                                <w:bCs/>
                              </w:rPr>
                              <w:t>13</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33.12.15.000</w:t>
                            </w:r>
                          </w:p>
                        </w:tc>
                        <w:tc>
                          <w:tcPr>
                            <w:tcW w:w="3568" w:type="dxa"/>
                            <w:tcBorders/>
                            <w:shd w:fill="auto" w:val="clear"/>
                            <w:vAlign w:val="center"/>
                          </w:tcPr>
                          <w:p>
                            <w:pPr>
                              <w:pStyle w:val="Normal"/>
                              <w:suppressAutoHyphens w:val="false"/>
                              <w:rPr/>
                            </w:pPr>
                            <w:r>
                              <w:rPr>
                                <w:bCs/>
                              </w:rPr>
                              <w:t>Техническое обслуживание и ремонт подъемника</w:t>
                            </w:r>
                          </w:p>
                        </w:tc>
                        <w:tc>
                          <w:tcPr>
                            <w:tcW w:w="2264" w:type="dxa"/>
                            <w:tcBorders/>
                            <w:shd w:fill="auto" w:val="clear"/>
                            <w:vAlign w:val="center"/>
                          </w:tcPr>
                          <w:p>
                            <w:pPr>
                              <w:pStyle w:val="Normal"/>
                              <w:suppressAutoHyphens w:val="false"/>
                              <w:jc w:val="center"/>
                              <w:rPr/>
                            </w:pPr>
                            <w:r>
                              <w:rPr>
                                <w:bCs/>
                              </w:rPr>
                              <w:t>не позднее 15 числа месяца, следующего за расчетным</w:t>
                            </w:r>
                          </w:p>
                        </w:tc>
                      </w:tr>
                      <w:tr>
                        <w:trPr>
                          <w:trHeight w:val="472" w:hRule="atLeast"/>
                        </w:trPr>
                        <w:tc>
                          <w:tcPr>
                            <w:tcW w:w="739" w:type="dxa"/>
                            <w:tcBorders/>
                            <w:shd w:fill="auto" w:val="clear"/>
                            <w:vAlign w:val="center"/>
                          </w:tcPr>
                          <w:p>
                            <w:pPr>
                              <w:pStyle w:val="Normal"/>
                              <w:suppressAutoHyphens w:val="false"/>
                              <w:jc w:val="center"/>
                              <w:rPr/>
                            </w:pPr>
                            <w:r>
                              <w:rPr>
                                <w:bCs/>
                              </w:rPr>
                              <w:t>14</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pPr>
                            <w:r>
                              <w:rPr>
                                <w:bCs/>
                              </w:rPr>
                              <w:t>52.23.19.114</w:t>
                            </w:r>
                          </w:p>
                        </w:tc>
                        <w:tc>
                          <w:tcPr>
                            <w:tcW w:w="3568" w:type="dxa"/>
                            <w:tcBorders/>
                            <w:shd w:fill="auto" w:val="clear"/>
                            <w:vAlign w:val="center"/>
                          </w:tcPr>
                          <w:p>
                            <w:pPr>
                              <w:pStyle w:val="Normal"/>
                              <w:suppressAutoHyphens w:val="false"/>
                              <w:rPr/>
                            </w:pPr>
                            <w:r>
                              <w:rPr>
                                <w:bCs/>
                              </w:rPr>
                              <w:t>Погрузо-разгрузочные работы</w:t>
                            </w:r>
                          </w:p>
                        </w:tc>
                        <w:tc>
                          <w:tcPr>
                            <w:tcW w:w="2264" w:type="dxa"/>
                            <w:tcBorders/>
                            <w:shd w:fill="auto" w:val="clear"/>
                            <w:vAlign w:val="center"/>
                          </w:tcPr>
                          <w:p>
                            <w:pPr>
                              <w:pStyle w:val="Normal"/>
                              <w:suppressAutoHyphens w:val="false"/>
                              <w:jc w:val="center"/>
                              <w:rPr/>
                            </w:pPr>
                            <w:r>
                              <w:rPr>
                                <w:bCs/>
                              </w:rPr>
                              <w:t>не позднее 10 календарных дней после получения счета</w:t>
                            </w:r>
                          </w:p>
                        </w:tc>
                      </w:tr>
                      <w:tr>
                        <w:trPr>
                          <w:trHeight w:val="472" w:hRule="atLeast"/>
                        </w:trPr>
                        <w:tc>
                          <w:tcPr>
                            <w:tcW w:w="739" w:type="dxa"/>
                            <w:tcBorders/>
                            <w:shd w:fill="auto" w:val="clear"/>
                            <w:vAlign w:val="center"/>
                          </w:tcPr>
                          <w:p>
                            <w:pPr>
                              <w:pStyle w:val="Normal"/>
                              <w:suppressAutoHyphens w:val="false"/>
                              <w:jc w:val="center"/>
                              <w:rPr/>
                            </w:pPr>
                            <w:r>
                              <w:rPr>
                                <w:bCs/>
                              </w:rPr>
                              <w:t>15</w:t>
                            </w:r>
                          </w:p>
                        </w:tc>
                        <w:tc>
                          <w:tcPr>
                            <w:tcW w:w="1523" w:type="dxa"/>
                            <w:tcBorders/>
                            <w:shd w:fill="auto" w:val="clear"/>
                          </w:tcPr>
                          <w:p>
                            <w:pPr>
                              <w:pStyle w:val="Normal"/>
                              <w:suppressAutoHyphens w:val="false"/>
                              <w:jc w:val="center"/>
                              <w:rPr>
                                <w:bCs/>
                              </w:rPr>
                            </w:pPr>
                            <w:r>
                              <w:rPr>
                                <w:bCs/>
                              </w:rPr>
                            </w:r>
                          </w:p>
                          <w:p>
                            <w:pPr>
                              <w:pStyle w:val="Normal"/>
                              <w:suppressAutoHyphens w:val="false"/>
                              <w:jc w:val="center"/>
                              <w:rPr>
                                <w:bCs/>
                              </w:rPr>
                            </w:pPr>
                            <w:r>
                              <w:rPr>
                                <w:bCs/>
                              </w:rPr>
                            </w:r>
                          </w:p>
                          <w:p>
                            <w:pPr>
                              <w:pStyle w:val="Normal"/>
                              <w:suppressAutoHyphens w:val="false"/>
                              <w:jc w:val="center"/>
                              <w:rPr/>
                            </w:pPr>
                            <w:r>
                              <w:rPr>
                                <w:bCs/>
                              </w:rPr>
                              <w:t>33.14.1</w:t>
                            </w:r>
                          </w:p>
                        </w:tc>
                        <w:tc>
                          <w:tcPr>
                            <w:tcW w:w="3568" w:type="dxa"/>
                            <w:tcBorders/>
                            <w:shd w:fill="auto" w:val="clear"/>
                            <w:vAlign w:val="center"/>
                          </w:tcPr>
                          <w:p>
                            <w:pPr>
                              <w:pStyle w:val="Normal"/>
                              <w:suppressAutoHyphens w:val="false"/>
                              <w:rPr/>
                            </w:pPr>
                            <w:r>
                              <w:rPr>
                                <w:bCs/>
                              </w:rPr>
                              <w:t>Техническое, оперативное обслуживание и организацию безопасной эксплуатации электроустановок. Техническое обслуживание дизель-генераторной установки.</w:t>
                            </w:r>
                          </w:p>
                        </w:tc>
                        <w:tc>
                          <w:tcPr>
                            <w:tcW w:w="2264" w:type="dxa"/>
                            <w:tcBorders/>
                            <w:shd w:fill="auto" w:val="clear"/>
                            <w:vAlign w:val="center"/>
                          </w:tcPr>
                          <w:p>
                            <w:pPr>
                              <w:pStyle w:val="Normal"/>
                              <w:suppressAutoHyphens w:val="false"/>
                              <w:jc w:val="center"/>
                              <w:rPr/>
                            </w:pPr>
                            <w:r>
                              <w:rPr>
                                <w:bCs/>
                              </w:rPr>
                              <w:t>в течение 10 дней с момента подписания акта</w:t>
                            </w:r>
                          </w:p>
                        </w:tc>
                      </w:tr>
                      <w:tr>
                        <w:trPr>
                          <w:trHeight w:val="472" w:hRule="atLeast"/>
                        </w:trPr>
                        <w:tc>
                          <w:tcPr>
                            <w:tcW w:w="739" w:type="dxa"/>
                            <w:tcBorders/>
                            <w:shd w:fill="auto" w:val="clear"/>
                            <w:vAlign w:val="center"/>
                          </w:tcPr>
                          <w:p>
                            <w:pPr>
                              <w:pStyle w:val="Normal"/>
                              <w:suppressAutoHyphens w:val="false"/>
                              <w:jc w:val="center"/>
                              <w:rPr/>
                            </w:pPr>
                            <w:r>
                              <w:rPr>
                                <w:bCs/>
                              </w:rPr>
                              <w:t>16</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43.22.12.120</w:t>
                            </w:r>
                          </w:p>
                        </w:tc>
                        <w:tc>
                          <w:tcPr>
                            <w:tcW w:w="3568" w:type="dxa"/>
                            <w:tcBorders/>
                            <w:shd w:fill="auto" w:val="clear"/>
                            <w:vAlign w:val="center"/>
                          </w:tcPr>
                          <w:p>
                            <w:pPr>
                              <w:pStyle w:val="Normal"/>
                              <w:suppressAutoHyphens w:val="false"/>
                              <w:rPr/>
                            </w:pPr>
                            <w:r>
                              <w:rPr>
                                <w:bCs/>
                              </w:rPr>
                              <w:t>Техническое обслуживание и ремонт тепловых пунктов</w:t>
                            </w:r>
                          </w:p>
                        </w:tc>
                        <w:tc>
                          <w:tcPr>
                            <w:tcW w:w="2264" w:type="dxa"/>
                            <w:tcBorders/>
                            <w:shd w:fill="auto" w:val="clear"/>
                            <w:vAlign w:val="center"/>
                          </w:tcPr>
                          <w:p>
                            <w:pPr>
                              <w:pStyle w:val="Normal"/>
                              <w:suppressAutoHyphens w:val="false"/>
                              <w:jc w:val="center"/>
                              <w:rPr/>
                            </w:pPr>
                            <w:r>
                              <w:rPr>
                                <w:bCs/>
                              </w:rPr>
                              <w:t>в течение 10 рабочих дней с момента подписания акта</w:t>
                            </w:r>
                          </w:p>
                        </w:tc>
                      </w:tr>
                      <w:tr>
                        <w:trPr>
                          <w:trHeight w:val="472" w:hRule="atLeast"/>
                        </w:trPr>
                        <w:tc>
                          <w:tcPr>
                            <w:tcW w:w="739" w:type="dxa"/>
                            <w:tcBorders/>
                            <w:shd w:fill="auto" w:val="clear"/>
                            <w:vAlign w:val="center"/>
                          </w:tcPr>
                          <w:p>
                            <w:pPr>
                              <w:pStyle w:val="Normal"/>
                              <w:suppressAutoHyphens w:val="false"/>
                              <w:jc w:val="center"/>
                              <w:rPr/>
                            </w:pPr>
                            <w:r>
                              <w:rPr>
                                <w:bCs/>
                              </w:rPr>
                              <w:t>17</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86.21.10</w:t>
                            </w:r>
                          </w:p>
                        </w:tc>
                        <w:tc>
                          <w:tcPr>
                            <w:tcW w:w="3568" w:type="dxa"/>
                            <w:tcBorders/>
                            <w:shd w:fill="auto" w:val="clear"/>
                            <w:vAlign w:val="center"/>
                          </w:tcPr>
                          <w:p>
                            <w:pPr>
                              <w:pStyle w:val="Normal"/>
                              <w:suppressAutoHyphens w:val="false"/>
                              <w:rPr/>
                            </w:pPr>
                            <w:r>
                              <w:rPr>
                                <w:color w:val="000000"/>
                              </w:rPr>
                              <w:t>Оказание медицинских услуг по проведению предварительных и периодических медицинских осмотров</w:t>
                            </w:r>
                          </w:p>
                        </w:tc>
                        <w:tc>
                          <w:tcPr>
                            <w:tcW w:w="2264" w:type="dxa"/>
                            <w:tcBorders/>
                            <w:shd w:fill="auto" w:val="clear"/>
                            <w:vAlign w:val="center"/>
                          </w:tcPr>
                          <w:p>
                            <w:pPr>
                              <w:pStyle w:val="Normal"/>
                              <w:suppressAutoHyphens w:val="false"/>
                              <w:jc w:val="center"/>
                              <w:rPr/>
                            </w:pPr>
                            <w:r>
                              <w:rPr>
                                <w:color w:val="000000"/>
                              </w:rPr>
                              <w:t>30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18</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38.1</w:t>
                            </w:r>
                          </w:p>
                        </w:tc>
                        <w:tc>
                          <w:tcPr>
                            <w:tcW w:w="3568" w:type="dxa"/>
                            <w:tcBorders/>
                            <w:shd w:fill="auto" w:val="clear"/>
                            <w:vAlign w:val="center"/>
                          </w:tcPr>
                          <w:p>
                            <w:pPr>
                              <w:pStyle w:val="Normal"/>
                              <w:suppressAutoHyphens w:val="false"/>
                              <w:rPr/>
                            </w:pPr>
                            <w:r>
                              <w:rPr>
                                <w:color w:val="000000"/>
                              </w:rPr>
                              <w:t>Оказание услуг по обращению с твердыми коммунальными отходами региональным оператором</w:t>
                            </w:r>
                          </w:p>
                        </w:tc>
                        <w:tc>
                          <w:tcPr>
                            <w:tcW w:w="2264" w:type="dxa"/>
                            <w:tcBorders/>
                            <w:shd w:fill="auto" w:val="clear"/>
                            <w:vAlign w:val="center"/>
                          </w:tcPr>
                          <w:p>
                            <w:pPr>
                              <w:pStyle w:val="Normal"/>
                              <w:suppressAutoHyphens w:val="false"/>
                              <w:jc w:val="center"/>
                              <w:rPr/>
                            </w:pPr>
                            <w:r>
                              <w:rPr>
                                <w:color w:val="000000"/>
                              </w:rPr>
                              <w:t>10 календарных дней</w:t>
                            </w:r>
                          </w:p>
                        </w:tc>
                      </w:tr>
                      <w:tr>
                        <w:trPr>
                          <w:trHeight w:val="472" w:hRule="atLeast"/>
                        </w:trPr>
                        <w:tc>
                          <w:tcPr>
                            <w:tcW w:w="739" w:type="dxa"/>
                            <w:tcBorders/>
                            <w:shd w:fill="auto" w:val="clear"/>
                            <w:vAlign w:val="center"/>
                          </w:tcPr>
                          <w:p>
                            <w:pPr>
                              <w:pStyle w:val="Normal"/>
                              <w:suppressAutoHyphens w:val="false"/>
                              <w:jc w:val="center"/>
                              <w:rPr/>
                            </w:pPr>
                            <w:r>
                              <w:rPr>
                                <w:bCs/>
                              </w:rPr>
                              <w:t>19</w:t>
                            </w:r>
                          </w:p>
                        </w:tc>
                        <w:tc>
                          <w:tcPr>
                            <w:tcW w:w="1523" w:type="dxa"/>
                            <w:tcBorders/>
                            <w:shd w:fill="auto" w:val="clear"/>
                          </w:tcPr>
                          <w:p>
                            <w:pPr>
                              <w:pStyle w:val="Normal"/>
                              <w:suppressAutoHyphens w:val="false"/>
                              <w:jc w:val="center"/>
                              <w:rPr/>
                            </w:pPr>
                            <w:r>
                              <w:rPr>
                                <w:color w:val="333333"/>
                                <w:shd w:fill="FFFFFF" w:val="clear"/>
                              </w:rPr>
                              <w:t>85.42.1</w:t>
                            </w:r>
                          </w:p>
                        </w:tc>
                        <w:tc>
                          <w:tcPr>
                            <w:tcW w:w="3568" w:type="dxa"/>
                            <w:tcBorders/>
                            <w:shd w:fill="auto" w:val="clear"/>
                            <w:vAlign w:val="center"/>
                          </w:tcPr>
                          <w:p>
                            <w:pPr>
                              <w:pStyle w:val="Normal"/>
                              <w:suppressAutoHyphens w:val="false"/>
                              <w:rPr/>
                            </w:pPr>
                            <w:r>
                              <w:rPr>
                                <w:color w:val="000000"/>
                              </w:rPr>
                              <w:t>Предоставление образовательных услуг</w:t>
                            </w:r>
                          </w:p>
                        </w:tc>
                        <w:tc>
                          <w:tcPr>
                            <w:tcW w:w="2264" w:type="dxa"/>
                            <w:tcBorders/>
                            <w:shd w:fill="auto" w:val="clear"/>
                            <w:vAlign w:val="center"/>
                          </w:tcPr>
                          <w:p>
                            <w:pPr>
                              <w:pStyle w:val="Normal"/>
                              <w:suppressAutoHyphens w:val="false"/>
                              <w:jc w:val="center"/>
                              <w:rPr/>
                            </w:pPr>
                            <w:r>
                              <w:rPr>
                                <w:color w:val="000000"/>
                              </w:rPr>
                              <w:t>10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20</w:t>
                            </w:r>
                          </w:p>
                        </w:tc>
                        <w:tc>
                          <w:tcPr>
                            <w:tcW w:w="1523" w:type="dxa"/>
                            <w:tcBorders/>
                            <w:shd w:fill="auto" w:val="clear"/>
                          </w:tcPr>
                          <w:p>
                            <w:pPr>
                              <w:pStyle w:val="1"/>
                              <w:numPr>
                                <w:ilvl w:val="0"/>
                                <w:numId w:val="0"/>
                              </w:numPr>
                              <w:shd w:val="clear" w:color="auto" w:fill="FFFFFF"/>
                              <w:suppressAutoHyphens w:val="false"/>
                              <w:spacing w:before="75" w:after="150"/>
                              <w:jc w:val="center"/>
                              <w:outlineLvl w:val="0"/>
                              <w:rPr>
                                <w:rFonts w:ascii="Times New Roman" w:hAnsi="Times New Roman" w:cs="Times New Roman"/>
                                <w:color w:val="333333"/>
                                <w:sz w:val="24"/>
                                <w:szCs w:val="24"/>
                              </w:rPr>
                            </w:pPr>
                            <w:r>
                              <w:rPr>
                                <w:rFonts w:cs="Times New Roman" w:ascii="Times New Roman" w:hAnsi="Times New Roman"/>
                                <w:color w:val="333333"/>
                                <w:sz w:val="24"/>
                                <w:szCs w:val="24"/>
                              </w:rPr>
                            </w:r>
                          </w:p>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71.20.13.000</w:t>
                            </w:r>
                          </w:p>
                          <w:p>
                            <w:pPr>
                              <w:pStyle w:val="Normal"/>
                              <w:suppressAutoHyphens w:val="false"/>
                              <w:jc w:val="center"/>
                              <w:rPr>
                                <w:color w:val="000000"/>
                              </w:rPr>
                            </w:pPr>
                            <w:r>
                              <w:rPr>
                                <w:color w:val="000000"/>
                              </w:rPr>
                            </w:r>
                          </w:p>
                        </w:tc>
                        <w:tc>
                          <w:tcPr>
                            <w:tcW w:w="3568" w:type="dxa"/>
                            <w:tcBorders/>
                            <w:shd w:fill="auto" w:val="clear"/>
                            <w:vAlign w:val="center"/>
                          </w:tcPr>
                          <w:p>
                            <w:pPr>
                              <w:pStyle w:val="Normal"/>
                              <w:suppressAutoHyphens w:val="false"/>
                              <w:rPr/>
                            </w:pPr>
                            <w:r>
                              <w:rPr>
                                <w:color w:val="000000"/>
                              </w:rPr>
                              <w:t>Проведение испытаний и измерений электрооборудования до 110 кВ и испытаний защитных средств повышенным напряжением</w:t>
                            </w:r>
                          </w:p>
                        </w:tc>
                        <w:tc>
                          <w:tcPr>
                            <w:tcW w:w="2264" w:type="dxa"/>
                            <w:tcBorders/>
                            <w:shd w:fill="auto" w:val="clear"/>
                            <w:vAlign w:val="center"/>
                          </w:tcPr>
                          <w:p>
                            <w:pPr>
                              <w:pStyle w:val="Normal"/>
                              <w:suppressAutoHyphens w:val="false"/>
                              <w:jc w:val="center"/>
                              <w:rPr/>
                            </w:pPr>
                            <w:r>
                              <w:rPr>
                                <w:color w:val="000000"/>
                              </w:rPr>
                              <w:t>10 рабочих дней</w:t>
                            </w:r>
                          </w:p>
                        </w:tc>
                      </w:tr>
                      <w:tr>
                        <w:trPr>
                          <w:trHeight w:val="472" w:hRule="atLeast"/>
                        </w:trPr>
                        <w:tc>
                          <w:tcPr>
                            <w:tcW w:w="739" w:type="dxa"/>
                            <w:tcBorders/>
                            <w:shd w:fill="auto" w:val="clear"/>
                            <w:vAlign w:val="center"/>
                          </w:tcPr>
                          <w:p>
                            <w:pPr>
                              <w:pStyle w:val="Normal"/>
                              <w:suppressAutoHyphens w:val="false"/>
                              <w:jc w:val="center"/>
                              <w:rPr/>
                            </w:pPr>
                            <w:r>
                              <w:rPr>
                                <w:bCs/>
                              </w:rPr>
                              <w:t>21</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35.30.11.120</w:t>
                            </w:r>
                          </w:p>
                        </w:tc>
                        <w:tc>
                          <w:tcPr>
                            <w:tcW w:w="3568" w:type="dxa"/>
                            <w:tcBorders/>
                            <w:shd w:fill="auto" w:val="clear"/>
                            <w:vAlign w:val="center"/>
                          </w:tcPr>
                          <w:p>
                            <w:pPr>
                              <w:pStyle w:val="Normal"/>
                              <w:suppressAutoHyphens w:val="false"/>
                              <w:rPr/>
                            </w:pPr>
                            <w:r>
                              <w:rPr>
                                <w:color w:val="000000"/>
                              </w:rPr>
                              <w:t>Поставка тепловой энергии в горячей воде</w:t>
                            </w:r>
                          </w:p>
                        </w:tc>
                        <w:tc>
                          <w:tcPr>
                            <w:tcW w:w="2264" w:type="dxa"/>
                            <w:tcBorders/>
                            <w:shd w:fill="auto" w:val="clear"/>
                            <w:vAlign w:val="center"/>
                          </w:tcPr>
                          <w:p>
                            <w:pPr>
                              <w:pStyle w:val="Normal"/>
                              <w:suppressAutoHyphens w:val="false"/>
                              <w:jc w:val="center"/>
                              <w:rPr/>
                            </w:pPr>
                            <w:r>
                              <w:rPr>
                                <w:color w:val="000000"/>
                              </w:rPr>
                              <w:t>До 10-го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22</w:t>
                            </w:r>
                          </w:p>
                        </w:tc>
                        <w:tc>
                          <w:tcPr>
                            <w:tcW w:w="1523" w:type="dxa"/>
                            <w:tcBorders/>
                            <w:shd w:fill="auto" w:val="clear"/>
                          </w:tcPr>
                          <w:p>
                            <w:pPr>
                              <w:pStyle w:val="Normal"/>
                              <w:suppressAutoHyphens w:val="false"/>
                              <w:jc w:val="center"/>
                              <w:rPr>
                                <w:color w:val="000000"/>
                                <w:highlight w:val="white"/>
                              </w:rPr>
                            </w:pPr>
                            <w:r>
                              <w:rPr>
                                <w:color w:val="000000"/>
                                <w:shd w:fill="FFFFFF" w:val="clear"/>
                              </w:rPr>
                            </w:r>
                          </w:p>
                          <w:p>
                            <w:pPr>
                              <w:pStyle w:val="Normal"/>
                              <w:suppressAutoHyphens w:val="false"/>
                              <w:jc w:val="center"/>
                              <w:rPr>
                                <w:color w:val="000000"/>
                                <w:highlight w:val="white"/>
                              </w:rPr>
                            </w:pPr>
                            <w:r>
                              <w:rPr>
                                <w:color w:val="000000"/>
                                <w:shd w:fill="FFFFFF" w:val="clear"/>
                              </w:rPr>
                            </w:r>
                          </w:p>
                          <w:p>
                            <w:pPr>
                              <w:pStyle w:val="Normal"/>
                              <w:suppressAutoHyphens w:val="false"/>
                              <w:jc w:val="center"/>
                              <w:rPr/>
                            </w:pPr>
                            <w:r>
                              <w:rPr>
                                <w:color w:val="000000"/>
                                <w:shd w:fill="FFFFFF" w:val="clear"/>
                              </w:rPr>
                              <w:t>80.20.10.000</w:t>
                            </w:r>
                          </w:p>
                        </w:tc>
                        <w:tc>
                          <w:tcPr>
                            <w:tcW w:w="3568" w:type="dxa"/>
                            <w:tcBorders/>
                            <w:shd w:fill="auto" w:val="clear"/>
                            <w:vAlign w:val="center"/>
                          </w:tcPr>
                          <w:p>
                            <w:pPr>
                              <w:pStyle w:val="Normal"/>
                              <w:suppressAutoHyphens w:val="false"/>
                              <w:rPr/>
                            </w:pPr>
                            <w:r>
                              <w:rPr>
                                <w:color w:val="000000"/>
                              </w:rPr>
                              <w:t>Обеспечение пожарной безопасности (обработка чердачных помещений, испытание кранов, оценка качества огнезащитной обработки чердачных помещений)</w:t>
                            </w:r>
                          </w:p>
                        </w:tc>
                        <w:tc>
                          <w:tcPr>
                            <w:tcW w:w="2264" w:type="dxa"/>
                            <w:tcBorders/>
                            <w:shd w:fill="auto" w:val="clear"/>
                            <w:vAlign w:val="center"/>
                          </w:tcPr>
                          <w:p>
                            <w:pPr>
                              <w:pStyle w:val="Normal"/>
                              <w:suppressAutoHyphens w:val="false"/>
                              <w:jc w:val="center"/>
                              <w:rPr/>
                            </w:pPr>
                            <w:r>
                              <w:rPr>
                                <w:color w:val="000000"/>
                              </w:rPr>
                              <w:t>В течение 10 рабочих дней после подписания акта</w:t>
                            </w:r>
                          </w:p>
                        </w:tc>
                      </w:tr>
                      <w:tr>
                        <w:trPr>
                          <w:trHeight w:val="472" w:hRule="atLeast"/>
                        </w:trPr>
                        <w:tc>
                          <w:tcPr>
                            <w:tcW w:w="739" w:type="dxa"/>
                            <w:tcBorders/>
                            <w:shd w:fill="auto" w:val="clear"/>
                            <w:vAlign w:val="center"/>
                          </w:tcPr>
                          <w:p>
                            <w:pPr>
                              <w:pStyle w:val="Normal"/>
                              <w:suppressAutoHyphens w:val="false"/>
                              <w:jc w:val="center"/>
                              <w:rPr/>
                            </w:pPr>
                            <w:r>
                              <w:rPr>
                                <w:bCs/>
                              </w:rPr>
                              <w:t>23</w:t>
                            </w:r>
                          </w:p>
                        </w:tc>
                        <w:tc>
                          <w:tcPr>
                            <w:tcW w:w="1523" w:type="dxa"/>
                            <w:tcBorders/>
                            <w:shd w:fill="auto" w:val="clear"/>
                          </w:tcPr>
                          <w:p>
                            <w:pPr>
                              <w:pStyle w:val="Normal"/>
                              <w:suppressAutoHyphens w:val="false"/>
                              <w:jc w:val="center"/>
                              <w:rPr>
                                <w:b/>
                                <w:b/>
                                <w:sz w:val="28"/>
                                <w:szCs w:val="28"/>
                              </w:rPr>
                            </w:pPr>
                            <w:r>
                              <w:rPr>
                                <w:b/>
                                <w:sz w:val="28"/>
                                <w:szCs w:val="28"/>
                              </w:rPr>
                            </w:r>
                          </w:p>
                          <w:p>
                            <w:pPr>
                              <w:pStyle w:val="Normal"/>
                              <w:suppressAutoHyphens w:val="false"/>
                              <w:jc w:val="center"/>
                              <w:rPr/>
                            </w:pPr>
                            <w:r>
                              <w:rPr>
                                <w:bCs/>
                              </w:rPr>
                              <w:t>35.23.10</w:t>
                            </w:r>
                          </w:p>
                        </w:tc>
                        <w:tc>
                          <w:tcPr>
                            <w:tcW w:w="3568" w:type="dxa"/>
                            <w:tcBorders/>
                            <w:shd w:fill="auto" w:val="clear"/>
                            <w:vAlign w:val="center"/>
                          </w:tcPr>
                          <w:p>
                            <w:pPr>
                              <w:pStyle w:val="Normal"/>
                              <w:suppressAutoHyphens w:val="false"/>
                              <w:rPr/>
                            </w:pPr>
                            <w:r>
                              <w:rPr>
                                <w:color w:val="000000"/>
                              </w:rPr>
                              <w:t>Поставка газа</w:t>
                            </w:r>
                          </w:p>
                        </w:tc>
                        <w:tc>
                          <w:tcPr>
                            <w:tcW w:w="2264" w:type="dxa"/>
                            <w:tcBorders/>
                            <w:shd w:fill="auto" w:val="clear"/>
                            <w:vAlign w:val="center"/>
                          </w:tcPr>
                          <w:p>
                            <w:pPr>
                              <w:pStyle w:val="Normal"/>
                              <w:suppressAutoHyphens w:val="false"/>
                              <w:jc w:val="center"/>
                              <w:rPr/>
                            </w:pPr>
                            <w:r>
                              <w:rPr>
                                <w:color w:val="000000"/>
                              </w:rPr>
                              <w:t>До 10-го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24</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35.11.10</w:t>
                            </w:r>
                          </w:p>
                        </w:tc>
                        <w:tc>
                          <w:tcPr>
                            <w:tcW w:w="3568" w:type="dxa"/>
                            <w:tcBorders/>
                            <w:shd w:fill="auto" w:val="clear"/>
                            <w:vAlign w:val="center"/>
                          </w:tcPr>
                          <w:p>
                            <w:pPr>
                              <w:pStyle w:val="Normal"/>
                              <w:suppressAutoHyphens w:val="false"/>
                              <w:rPr/>
                            </w:pPr>
                            <w:r>
                              <w:rPr>
                                <w:color w:val="000000"/>
                              </w:rPr>
                              <w:t>Поставка электрической энергии</w:t>
                            </w:r>
                          </w:p>
                        </w:tc>
                        <w:tc>
                          <w:tcPr>
                            <w:tcW w:w="2264" w:type="dxa"/>
                            <w:tcBorders/>
                            <w:shd w:fill="auto" w:val="clear"/>
                            <w:vAlign w:val="center"/>
                          </w:tcPr>
                          <w:p>
                            <w:pPr>
                              <w:pStyle w:val="Normal"/>
                              <w:suppressAutoHyphens w:val="false"/>
                              <w:jc w:val="center"/>
                              <w:rPr/>
                            </w:pPr>
                            <w:r>
                              <w:rPr>
                                <w:color w:val="000000"/>
                              </w:rPr>
                              <w:t>До 10-го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25</w:t>
                            </w:r>
                          </w:p>
                        </w:tc>
                        <w:tc>
                          <w:tcPr>
                            <w:tcW w:w="1523" w:type="dxa"/>
                            <w:tcBorders/>
                            <w:shd w:fill="auto" w:val="clear"/>
                          </w:tcPr>
                          <w:p>
                            <w:pPr>
                              <w:pStyle w:val="Normal"/>
                              <w:suppressAutoHyphens w:val="false"/>
                              <w:jc w:val="center"/>
                              <w:rPr>
                                <w:color w:val="333333"/>
                              </w:rPr>
                            </w:pPr>
                            <w:r>
                              <w:rPr>
                                <w:color w:val="333333"/>
                              </w:rPr>
                            </w:r>
                          </w:p>
                          <w:p>
                            <w:pPr>
                              <w:pStyle w:val="Normal"/>
                              <w:suppressAutoHyphens w:val="false"/>
                              <w:jc w:val="center"/>
                              <w:rPr/>
                            </w:pPr>
                            <w:r>
                              <w:rPr>
                                <w:color w:val="333333"/>
                              </w:rPr>
                              <w:t>71.20.13.000</w:t>
                            </w:r>
                          </w:p>
                        </w:tc>
                        <w:tc>
                          <w:tcPr>
                            <w:tcW w:w="3568" w:type="dxa"/>
                            <w:tcBorders/>
                            <w:shd w:fill="auto" w:val="clear"/>
                            <w:vAlign w:val="center"/>
                          </w:tcPr>
                          <w:p>
                            <w:pPr>
                              <w:pStyle w:val="Normal"/>
                              <w:suppressAutoHyphens w:val="false"/>
                              <w:rPr/>
                            </w:pPr>
                            <w:r>
                              <w:rPr>
                                <w:color w:val="000000"/>
                              </w:rPr>
                              <w:t xml:space="preserve">Техническое обслуживание электроустановок </w:t>
                            </w:r>
                          </w:p>
                        </w:tc>
                        <w:tc>
                          <w:tcPr>
                            <w:tcW w:w="2264" w:type="dxa"/>
                            <w:tcBorders/>
                            <w:shd w:fill="auto" w:val="clear"/>
                            <w:vAlign w:val="center"/>
                          </w:tcPr>
                          <w:p>
                            <w:pPr>
                              <w:pStyle w:val="Normal"/>
                              <w:suppressAutoHyphens w:val="false"/>
                              <w:jc w:val="center"/>
                              <w:rPr/>
                            </w:pPr>
                            <w:r>
                              <w:rPr>
                                <w:color w:val="000000"/>
                              </w:rPr>
                              <w:t xml:space="preserve">В течение 10 рабочих дней с момента подписания акта </w:t>
                            </w:r>
                          </w:p>
                        </w:tc>
                      </w:tr>
                      <w:tr>
                        <w:trPr>
                          <w:trHeight w:val="472" w:hRule="atLeast"/>
                        </w:trPr>
                        <w:tc>
                          <w:tcPr>
                            <w:tcW w:w="739" w:type="dxa"/>
                            <w:tcBorders/>
                            <w:shd w:fill="auto" w:val="clear"/>
                            <w:vAlign w:val="center"/>
                          </w:tcPr>
                          <w:p>
                            <w:pPr>
                              <w:pStyle w:val="Normal"/>
                              <w:suppressAutoHyphens w:val="false"/>
                              <w:jc w:val="center"/>
                              <w:rPr/>
                            </w:pPr>
                            <w:r>
                              <w:rPr>
                                <w:bCs/>
                              </w:rPr>
                              <w:t>26</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65.12.21.000</w:t>
                            </w:r>
                          </w:p>
                        </w:tc>
                        <w:tc>
                          <w:tcPr>
                            <w:tcW w:w="3568" w:type="dxa"/>
                            <w:tcBorders/>
                            <w:shd w:fill="auto" w:val="clear"/>
                            <w:vAlign w:val="center"/>
                          </w:tcPr>
                          <w:p>
                            <w:pPr>
                              <w:pStyle w:val="Normal"/>
                              <w:suppressAutoHyphens w:val="false"/>
                              <w:rPr/>
                            </w:pPr>
                            <w:r>
                              <w:rPr>
                                <w:color w:val="000000"/>
                              </w:rPr>
                              <w:t>ОСАГО</w:t>
                            </w:r>
                          </w:p>
                        </w:tc>
                        <w:tc>
                          <w:tcPr>
                            <w:tcW w:w="2264" w:type="dxa"/>
                            <w:tcBorders/>
                            <w:shd w:fill="auto" w:val="clear"/>
                            <w:vAlign w:val="center"/>
                          </w:tcPr>
                          <w:p>
                            <w:pPr>
                              <w:pStyle w:val="Normal"/>
                              <w:suppressAutoHyphens w:val="false"/>
                              <w:jc w:val="center"/>
                              <w:rPr/>
                            </w:pPr>
                            <w:r>
                              <w:rPr>
                                <w:color w:val="000000"/>
                              </w:rPr>
                              <w:t>В течение 10 рабочих дней с даты выставления счёта</w:t>
                            </w:r>
                          </w:p>
                        </w:tc>
                      </w:tr>
                      <w:tr>
                        <w:trPr>
                          <w:trHeight w:val="472" w:hRule="atLeast"/>
                        </w:trPr>
                        <w:tc>
                          <w:tcPr>
                            <w:tcW w:w="739" w:type="dxa"/>
                            <w:tcBorders/>
                            <w:shd w:fill="auto" w:val="clear"/>
                            <w:vAlign w:val="center"/>
                          </w:tcPr>
                          <w:p>
                            <w:pPr>
                              <w:pStyle w:val="Normal"/>
                              <w:suppressAutoHyphens w:val="false"/>
                              <w:jc w:val="center"/>
                              <w:rPr/>
                            </w:pPr>
                            <w:r>
                              <w:rPr>
                                <w:bCs/>
                              </w:rPr>
                              <w:t>27</w:t>
                            </w:r>
                          </w:p>
                        </w:tc>
                        <w:tc>
                          <w:tcPr>
                            <w:tcW w:w="1523" w:type="dxa"/>
                            <w:tcBorders/>
                            <w:shd w:fill="auto" w:val="clear"/>
                          </w:tcPr>
                          <w:p>
                            <w:pPr>
                              <w:pStyle w:val="Normal"/>
                              <w:suppressAutoHyphens w:val="false"/>
                              <w:jc w:val="center"/>
                              <w:rPr>
                                <w:color w:val="000000"/>
                              </w:rPr>
                            </w:pPr>
                            <w:r>
                              <w:rPr>
                                <w:color w:val="000000"/>
                              </w:rPr>
                            </w:r>
                          </w:p>
                          <w:p>
                            <w:pPr>
                              <w:pStyle w:val="Normal"/>
                              <w:suppressAutoHyphens w:val="false"/>
                              <w:jc w:val="center"/>
                              <w:rPr/>
                            </w:pPr>
                            <w:r>
                              <w:rPr>
                                <w:color w:val="000000"/>
                              </w:rPr>
                              <w:t>62.20.11</w:t>
                            </w:r>
                          </w:p>
                        </w:tc>
                        <w:tc>
                          <w:tcPr>
                            <w:tcW w:w="3568" w:type="dxa"/>
                            <w:tcBorders/>
                            <w:shd w:fill="auto" w:val="clear"/>
                            <w:vAlign w:val="center"/>
                          </w:tcPr>
                          <w:p>
                            <w:pPr>
                              <w:pStyle w:val="Normal"/>
                              <w:suppressAutoHyphens w:val="false"/>
                              <w:rPr/>
                            </w:pPr>
                            <w:r>
                              <w:rPr>
                                <w:color w:val="000000"/>
                              </w:rPr>
                              <w:t>Сотовая связь</w:t>
                            </w:r>
                          </w:p>
                        </w:tc>
                        <w:tc>
                          <w:tcPr>
                            <w:tcW w:w="2264" w:type="dxa"/>
                            <w:tcBorders/>
                            <w:shd w:fill="auto" w:val="clear"/>
                            <w:vAlign w:val="center"/>
                          </w:tcPr>
                          <w:p>
                            <w:pPr>
                              <w:pStyle w:val="Normal"/>
                              <w:suppressAutoHyphens w:val="false"/>
                              <w:jc w:val="center"/>
                              <w:rPr/>
                            </w:pPr>
                            <w:r>
                              <w:rPr>
                                <w:color w:val="000000"/>
                              </w:rPr>
                              <w:t>До 20-го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28</w:t>
                            </w:r>
                          </w:p>
                        </w:tc>
                        <w:tc>
                          <w:tcPr>
                            <w:tcW w:w="1523" w:type="dxa"/>
                            <w:tcBorders/>
                            <w:shd w:fill="auto" w:val="clear"/>
                          </w:tcPr>
                          <w:p>
                            <w:pPr>
                              <w:pStyle w:val="Normal"/>
                              <w:suppressAutoHyphens w:val="false"/>
                              <w:jc w:val="center"/>
                              <w:rPr>
                                <w:highlight w:val="white"/>
                              </w:rPr>
                            </w:pPr>
                            <w:r>
                              <w:rPr>
                                <w:shd w:fill="FFFFFF" w:val="clear"/>
                              </w:rPr>
                            </w:r>
                          </w:p>
                          <w:p>
                            <w:pPr>
                              <w:pStyle w:val="Normal"/>
                              <w:suppressAutoHyphens w:val="false"/>
                              <w:jc w:val="center"/>
                              <w:rPr/>
                            </w:pPr>
                            <w:r>
                              <w:rPr>
                                <w:shd w:fill="FFFFFF" w:val="clear"/>
                              </w:rPr>
                              <w:t>61.90.10.140</w:t>
                            </w:r>
                          </w:p>
                        </w:tc>
                        <w:tc>
                          <w:tcPr>
                            <w:tcW w:w="3568" w:type="dxa"/>
                            <w:tcBorders/>
                            <w:shd w:fill="auto" w:val="clear"/>
                            <w:vAlign w:val="center"/>
                          </w:tcPr>
                          <w:p>
                            <w:pPr>
                              <w:pStyle w:val="Normal"/>
                              <w:suppressAutoHyphens w:val="false"/>
                              <w:rPr/>
                            </w:pPr>
                            <w:r>
                              <w:rPr>
                                <w:color w:val="000000"/>
                              </w:rPr>
                              <w:t>Телефонная связь и интернет</w:t>
                            </w:r>
                          </w:p>
                        </w:tc>
                        <w:tc>
                          <w:tcPr>
                            <w:tcW w:w="2264" w:type="dxa"/>
                            <w:tcBorders/>
                            <w:shd w:fill="auto" w:val="clear"/>
                            <w:vAlign w:val="center"/>
                          </w:tcPr>
                          <w:p>
                            <w:pPr>
                              <w:pStyle w:val="Normal"/>
                              <w:suppressAutoHyphens w:val="false"/>
                              <w:jc w:val="center"/>
                              <w:rPr/>
                            </w:pPr>
                            <w:r>
                              <w:rPr>
                                <w:color w:val="000000"/>
                              </w:rPr>
                              <w:t>До 30-го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r>
                              <w:rPr>
                                <w:bCs/>
                              </w:rPr>
                              <w:t>29</w:t>
                            </w:r>
                          </w:p>
                        </w:tc>
                        <w:tc>
                          <w:tcPr>
                            <w:tcW w:w="1523" w:type="dxa"/>
                            <w:tcBorders/>
                            <w:shd w:fill="auto" w:val="clear"/>
                          </w:tcPr>
                          <w:p>
                            <w:pPr>
                              <w:pStyle w:val="Normal"/>
                              <w:suppressAutoHyphens w:val="false"/>
                              <w:jc w:val="center"/>
                              <w:rPr>
                                <w:color w:val="333333"/>
                                <w:highlight w:val="white"/>
                              </w:rPr>
                            </w:pPr>
                            <w:r>
                              <w:rPr>
                                <w:color w:val="333333"/>
                                <w:shd w:fill="FFFFFF" w:val="clear"/>
                              </w:rPr>
                            </w:r>
                          </w:p>
                          <w:p>
                            <w:pPr>
                              <w:pStyle w:val="Normal"/>
                              <w:suppressAutoHyphens w:val="false"/>
                              <w:jc w:val="center"/>
                              <w:rPr/>
                            </w:pPr>
                            <w:r>
                              <w:rPr>
                                <w:color w:val="333333"/>
                                <w:shd w:fill="FFFFFF" w:val="clear"/>
                              </w:rPr>
                              <w:t>33.13.12.000</w:t>
                            </w:r>
                          </w:p>
                        </w:tc>
                        <w:tc>
                          <w:tcPr>
                            <w:tcW w:w="3568" w:type="dxa"/>
                            <w:tcBorders/>
                            <w:shd w:fill="auto" w:val="clear"/>
                            <w:vAlign w:val="center"/>
                          </w:tcPr>
                          <w:p>
                            <w:pPr>
                              <w:pStyle w:val="Normal"/>
                              <w:suppressAutoHyphens w:val="false"/>
                              <w:rPr/>
                            </w:pPr>
                            <w:r>
                              <w:rPr>
                                <w:color w:val="000000"/>
                              </w:rPr>
                              <w:t>Техническое обслуживание и ремонт медицинской техники</w:t>
                            </w:r>
                          </w:p>
                        </w:tc>
                        <w:tc>
                          <w:tcPr>
                            <w:tcW w:w="2264" w:type="dxa"/>
                            <w:tcBorders/>
                            <w:shd w:fill="auto" w:val="clear"/>
                            <w:vAlign w:val="center"/>
                          </w:tcPr>
                          <w:p>
                            <w:pPr>
                              <w:pStyle w:val="Normal"/>
                              <w:suppressAutoHyphens w:val="false"/>
                              <w:jc w:val="center"/>
                              <w:rPr/>
                            </w:pPr>
                            <w:r>
                              <w:rPr>
                                <w:color w:val="000000"/>
                              </w:rPr>
                              <w:t>В течение 10 рабочих дней с момента подписания акта</w:t>
                            </w:r>
                          </w:p>
                        </w:tc>
                      </w:tr>
                      <w:tr>
                        <w:trPr>
                          <w:trHeight w:val="472" w:hRule="atLeast"/>
                        </w:trPr>
                        <w:tc>
                          <w:tcPr>
                            <w:tcW w:w="739" w:type="dxa"/>
                            <w:tcBorders/>
                            <w:shd w:fill="auto" w:val="clear"/>
                            <w:vAlign w:val="center"/>
                          </w:tcPr>
                          <w:p>
                            <w:pPr>
                              <w:pStyle w:val="Normal"/>
                              <w:suppressAutoHyphens w:val="false"/>
                              <w:jc w:val="center"/>
                              <w:rPr/>
                            </w:pPr>
                            <w:r>
                              <w:rPr>
                                <w:bCs/>
                              </w:rPr>
                              <w:t>30</w:t>
                            </w:r>
                          </w:p>
                        </w:tc>
                        <w:tc>
                          <w:tcPr>
                            <w:tcW w:w="1523" w:type="dxa"/>
                            <w:tcBorders/>
                            <w:shd w:fill="auto" w:val="clear"/>
                          </w:tcPr>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68.32.11</w:t>
                            </w:r>
                          </w:p>
                          <w:p>
                            <w:pPr>
                              <w:pStyle w:val="Normal"/>
                              <w:suppressAutoHyphens w:val="false"/>
                              <w:jc w:val="center"/>
                              <w:rPr>
                                <w:color w:val="000000"/>
                              </w:rPr>
                            </w:pPr>
                            <w:r>
                              <w:rPr>
                                <w:color w:val="000000"/>
                              </w:rPr>
                            </w:r>
                          </w:p>
                        </w:tc>
                        <w:tc>
                          <w:tcPr>
                            <w:tcW w:w="3568" w:type="dxa"/>
                            <w:tcBorders/>
                            <w:shd w:fill="auto" w:val="clear"/>
                            <w:vAlign w:val="center"/>
                          </w:tcPr>
                          <w:p>
                            <w:pPr>
                              <w:pStyle w:val="Normal"/>
                              <w:suppressAutoHyphens w:val="false"/>
                              <w:rPr/>
                            </w:pPr>
                            <w:r>
                              <w:rPr>
                                <w:color w:val="000000"/>
                              </w:rPr>
                              <w:t>Содержание и ремонт общего имущества в многоквартирном доме</w:t>
                            </w:r>
                          </w:p>
                        </w:tc>
                        <w:tc>
                          <w:tcPr>
                            <w:tcW w:w="2264" w:type="dxa"/>
                            <w:tcBorders/>
                            <w:shd w:fill="auto" w:val="clear"/>
                            <w:vAlign w:val="center"/>
                          </w:tcPr>
                          <w:p>
                            <w:pPr>
                              <w:pStyle w:val="Normal"/>
                              <w:suppressAutoHyphens w:val="false"/>
                              <w:jc w:val="center"/>
                              <w:rPr/>
                            </w:pPr>
                            <w:r>
                              <w:rPr>
                                <w:color w:val="000000"/>
                              </w:rPr>
                              <w:t>До 10 числа месяца, следующего за отчетным</w:t>
                            </w:r>
                          </w:p>
                        </w:tc>
                      </w:tr>
                      <w:tr>
                        <w:trPr>
                          <w:trHeight w:val="472" w:hRule="atLeast"/>
                        </w:trPr>
                        <w:tc>
                          <w:tcPr>
                            <w:tcW w:w="739" w:type="dxa"/>
                            <w:tcBorders/>
                            <w:shd w:fill="auto" w:val="clear"/>
                            <w:vAlign w:val="center"/>
                          </w:tcPr>
                          <w:p>
                            <w:pPr>
                              <w:pStyle w:val="Normal"/>
                              <w:suppressAutoHyphens w:val="false"/>
                              <w:jc w:val="center"/>
                              <w:rPr/>
                            </w:pPr>
                            <w:bookmarkStart w:id="206" w:name="__UnoMark__3752_3688087547"/>
                            <w:bookmarkEnd w:id="206"/>
                            <w:r>
                              <w:rPr>
                                <w:bCs/>
                              </w:rPr>
                              <w:t>31</w:t>
                            </w:r>
                            <w:bookmarkStart w:id="207" w:name="__UnoMark__3753_3688087547"/>
                            <w:bookmarkEnd w:id="207"/>
                          </w:p>
                        </w:tc>
                        <w:tc>
                          <w:tcPr>
                            <w:tcW w:w="1523" w:type="dxa"/>
                            <w:tcBorders/>
                            <w:shd w:fill="auto" w:val="clear"/>
                          </w:tcPr>
                          <w:p>
                            <w:pPr>
                              <w:pStyle w:val="1"/>
                              <w:numPr>
                                <w:ilvl w:val="0"/>
                                <w:numId w:val="0"/>
                              </w:numPr>
                              <w:shd w:val="clear" w:color="auto" w:fill="FFFFFF"/>
                              <w:suppressAutoHyphens w:val="false"/>
                              <w:spacing w:before="75" w:after="150"/>
                              <w:jc w:val="center"/>
                              <w:outlineLvl w:val="0"/>
                              <w:rPr>
                                <w:rFonts w:ascii="Times New Roman" w:hAnsi="Times New Roman" w:cs="Times New Roman"/>
                                <w:color w:val="333333"/>
                                <w:sz w:val="24"/>
                                <w:szCs w:val="24"/>
                              </w:rPr>
                            </w:pPr>
                            <w:r>
                              <w:rPr>
                                <w:rFonts w:cs="Times New Roman" w:ascii="Times New Roman" w:hAnsi="Times New Roman"/>
                                <w:color w:val="333333"/>
                                <w:sz w:val="24"/>
                                <w:szCs w:val="24"/>
                              </w:rPr>
                            </w:r>
                            <w:bookmarkStart w:id="208" w:name="__UnoMark__3754_3688087547"/>
                            <w:bookmarkStart w:id="209" w:name="__UnoMark__3754_3688087547"/>
                            <w:bookmarkEnd w:id="209"/>
                          </w:p>
                          <w:p>
                            <w:pPr>
                              <w:pStyle w:val="1"/>
                              <w:numPr>
                                <w:ilvl w:val="0"/>
                                <w:numId w:val="0"/>
                              </w:numPr>
                              <w:shd w:val="clear" w:color="auto" w:fill="FFFFFF"/>
                              <w:suppressAutoHyphens w:val="false"/>
                              <w:spacing w:before="75" w:after="150"/>
                              <w:jc w:val="center"/>
                              <w:outlineLvl w:val="0"/>
                              <w:rPr/>
                            </w:pPr>
                            <w:r>
                              <w:rPr>
                                <w:rFonts w:cs="Times New Roman" w:ascii="Times New Roman" w:hAnsi="Times New Roman"/>
                                <w:color w:val="333333"/>
                                <w:sz w:val="24"/>
                                <w:szCs w:val="24"/>
                              </w:rPr>
                              <w:t>46.18.11.110</w:t>
                            </w:r>
                            <w:bookmarkStart w:id="210" w:name="__UnoMark__3755_3688087547"/>
                            <w:bookmarkEnd w:id="210"/>
                          </w:p>
                        </w:tc>
                        <w:tc>
                          <w:tcPr>
                            <w:tcW w:w="3568" w:type="dxa"/>
                            <w:tcBorders/>
                            <w:shd w:fill="auto" w:val="clear"/>
                            <w:vAlign w:val="center"/>
                          </w:tcPr>
                          <w:p>
                            <w:pPr>
                              <w:pStyle w:val="Normal"/>
                              <w:suppressAutoHyphens w:val="false"/>
                              <w:rPr/>
                            </w:pPr>
                            <w:bookmarkStart w:id="211" w:name="__UnoMark__3756_3688087547"/>
                            <w:bookmarkEnd w:id="211"/>
                            <w:r>
                              <w:rPr>
                                <w:color w:val="000000"/>
                              </w:rPr>
                              <w:t>Услуги по оптовой торговле фармацевтической продукцией за вознаграждение или на договорной основе</w:t>
                            </w:r>
                            <w:bookmarkStart w:id="212" w:name="__UnoMark__3757_3688087547"/>
                            <w:bookmarkEnd w:id="212"/>
                          </w:p>
                        </w:tc>
                        <w:tc>
                          <w:tcPr>
                            <w:tcW w:w="2264" w:type="dxa"/>
                            <w:tcBorders/>
                            <w:shd w:fill="auto" w:val="clear"/>
                            <w:vAlign w:val="center"/>
                          </w:tcPr>
                          <w:p>
                            <w:pPr>
                              <w:pStyle w:val="Normal"/>
                              <w:suppressAutoHyphens w:val="false"/>
                              <w:jc w:val="center"/>
                              <w:rPr/>
                            </w:pPr>
                            <w:bookmarkStart w:id="213" w:name="__UnoMark__3758_3688087547"/>
                            <w:bookmarkEnd w:id="213"/>
                            <w:r>
                              <w:rPr>
                                <w:bCs/>
                              </w:rPr>
                              <w:t>В течение 60 календарных дней</w:t>
                            </w:r>
                          </w:p>
                        </w:tc>
                      </w:tr>
                    </w:tbl>
                  </w:txbxContent>
                </v:textbox>
                <w10:wrap type="squar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bookmarkStart w:id="214" w:name="_Hlk121832819"/>
      <w:bookmarkStart w:id="215" w:name="_Hlk121832819"/>
      <w:bookmarkEnd w:id="215"/>
    </w:p>
    <w:p>
      <w:pPr>
        <w:pStyle w:val="Normal"/>
        <w:rPr/>
      </w:pPr>
      <w:r>
        <w:rPr/>
      </w:r>
    </w:p>
    <w:sectPr>
      <w:footerReference w:type="default" r:id="rId125"/>
      <w:type w:val="nextPage"/>
      <w:pgSz w:w="11906" w:h="16838"/>
      <w:pgMar w:left="1134"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fldChar w:fldCharType="begin"/>
    </w:r>
    <w:r>
      <w:rPr/>
      <w:instrText> PAGE </w:instrText>
    </w:r>
    <w:r>
      <w:rPr/>
      <w:fldChar w:fldCharType="separate"/>
    </w:r>
    <w:r>
      <w:rPr/>
      <w:t>90</w:t>
    </w:r>
    <w:r>
      <w:rPr/>
      <w:fldChar w:fldCharType="end"/>
    </w:r>
  </w:p>
  <w:p>
    <w:pPr>
      <w:pStyle w:val="Style3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
    <w:lvl w:ilvl="0">
      <w:start w:val="4"/>
      <w:numFmt w:val="decimal"/>
      <w:lvlText w:val="%1."/>
      <w:lvlJc w:val="left"/>
      <w:pPr>
        <w:ind w:left="360" w:hanging="360"/>
      </w:pPr>
    </w:lvl>
    <w:lvl w:ilvl="1">
      <w:start w:val="5"/>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lvl w:ilvl="0">
      <w:start w:val="5"/>
      <w:numFmt w:val="decimal"/>
      <w:lvlText w:val="%1."/>
      <w:lvlJc w:val="left"/>
      <w:pPr>
        <w:ind w:left="360" w:hanging="360"/>
      </w:pPr>
    </w:lvl>
    <w:lvl w:ilvl="1">
      <w:start w:val="1"/>
      <w:numFmt w:val="decimal"/>
      <w:lvlText w:val="%1.%2."/>
      <w:lvlJc w:val="left"/>
      <w:pPr>
        <w:ind w:left="1948" w:hanging="360"/>
      </w:pPr>
    </w:lvl>
    <w:lvl w:ilvl="2">
      <w:start w:val="1"/>
      <w:numFmt w:val="decimal"/>
      <w:lvlText w:val="%1.%2.%3."/>
      <w:lvlJc w:val="left"/>
      <w:pPr>
        <w:ind w:left="3896" w:hanging="720"/>
      </w:pPr>
    </w:lvl>
    <w:lvl w:ilvl="3">
      <w:start w:val="1"/>
      <w:numFmt w:val="decimal"/>
      <w:lvlText w:val="%1.%2.%3.%4."/>
      <w:lvlJc w:val="left"/>
      <w:pPr>
        <w:ind w:left="5484" w:hanging="720"/>
      </w:pPr>
    </w:lvl>
    <w:lvl w:ilvl="4">
      <w:start w:val="1"/>
      <w:numFmt w:val="decimal"/>
      <w:lvlText w:val="%1.%2.%3.%4.%5."/>
      <w:lvlJc w:val="left"/>
      <w:pPr>
        <w:ind w:left="7432" w:hanging="1080"/>
      </w:pPr>
    </w:lvl>
    <w:lvl w:ilvl="5">
      <w:start w:val="1"/>
      <w:numFmt w:val="decimal"/>
      <w:lvlText w:val="%1.%2.%3.%4.%5.%6."/>
      <w:lvlJc w:val="left"/>
      <w:pPr>
        <w:ind w:left="9020" w:hanging="1080"/>
      </w:pPr>
    </w:lvl>
    <w:lvl w:ilvl="6">
      <w:start w:val="1"/>
      <w:numFmt w:val="decimal"/>
      <w:lvlText w:val="%1.%2.%3.%4.%5.%6.%7."/>
      <w:lvlJc w:val="left"/>
      <w:pPr>
        <w:ind w:left="10968" w:hanging="1440"/>
      </w:pPr>
    </w:lvl>
    <w:lvl w:ilvl="7">
      <w:start w:val="1"/>
      <w:numFmt w:val="decimal"/>
      <w:lvlText w:val="%1.%2.%3.%4.%5.%6.%7.%8."/>
      <w:lvlJc w:val="left"/>
      <w:pPr>
        <w:ind w:left="12556" w:hanging="1440"/>
      </w:pPr>
    </w:lvl>
    <w:lvl w:ilvl="8">
      <w:start w:val="1"/>
      <w:numFmt w:val="decimal"/>
      <w:lvlText w:val="%1.%2.%3.%4.%5.%6.%7.%8.%9."/>
      <w:lvlJc w:val="left"/>
      <w:pPr>
        <w:ind w:left="14504" w:hanging="1800"/>
      </w:pPr>
    </w:lvl>
  </w:abstractNum>
  <w:abstractNum w:abstractNumId="4">
    <w:lvl w:ilvl="0">
      <w:start w:val="6"/>
      <w:numFmt w:val="decimal"/>
      <w:lvlText w:val="%1."/>
      <w:lvlJc w:val="left"/>
      <w:pPr>
        <w:ind w:left="1101" w:hanging="675"/>
      </w:pPr>
    </w:lvl>
    <w:lvl w:ilvl="1">
      <w:start w:val="3"/>
      <w:numFmt w:val="decimal"/>
      <w:lvlText w:val="%1.%2."/>
      <w:lvlJc w:val="left"/>
      <w:pPr>
        <w:ind w:left="1003" w:hanging="720"/>
      </w:pPr>
    </w:lvl>
    <w:lvl w:ilvl="2">
      <w:start w:val="2"/>
      <w:numFmt w:val="decimal"/>
      <w:lvlText w:val="%1.%2.%3."/>
      <w:lvlJc w:val="left"/>
      <w:pPr>
        <w:ind w:left="1286" w:hanging="720"/>
      </w:pPr>
    </w:lvl>
    <w:lvl w:ilvl="3">
      <w:start w:val="1"/>
      <w:numFmt w:val="decimal"/>
      <w:lvlText w:val="%1.%2.%3.%4."/>
      <w:lvlJc w:val="left"/>
      <w:pPr>
        <w:ind w:left="1929" w:hanging="1080"/>
      </w:pPr>
      <w:rPr>
        <w:sz w:val="24"/>
        <w:szCs w:val="24"/>
      </w:rPr>
    </w:lvl>
    <w:lvl w:ilvl="4">
      <w:start w:val="1"/>
      <w:numFmt w:val="decimal"/>
      <w:lvlText w:val="%1.%2.%3.%4.%5."/>
      <w:lvlJc w:val="left"/>
      <w:pPr>
        <w:ind w:left="2357"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3"/>
      <w:numFmt w:val="decimal"/>
      <w:lvlText w:val="%1."/>
      <w:lvlJc w:val="left"/>
      <w:pPr>
        <w:ind w:left="480" w:hanging="480"/>
      </w:pPr>
    </w:lvl>
    <w:lvl w:ilvl="1">
      <w:start w:val="10"/>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lvl w:ilvl="0">
      <w:start w:val="1"/>
      <w:numFmt w:val="decimal"/>
      <w:lvlText w:val="%1)"/>
      <w:lvlJc w:val="left"/>
      <w:pPr>
        <w:ind w:left="899" w:hanging="360"/>
      </w:pPr>
    </w:lvl>
    <w:lvl w:ilvl="1">
      <w:start w:val="1"/>
      <w:numFmt w:val="lowerLetter"/>
      <w:lvlText w:val="%2."/>
      <w:lvlJc w:val="left"/>
      <w:pPr>
        <w:ind w:left="1619" w:hanging="360"/>
      </w:p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24"/>
      <w:numFmt w:val="decimal"/>
      <w:lvlText w:val="%1."/>
      <w:lvlJc w:val="left"/>
      <w:pPr>
        <w:ind w:left="525" w:hanging="52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21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a1452"/>
    <w:pPr>
      <w:widowControl/>
      <w:suppressAutoHyphens w:val="true"/>
      <w:bidi w:val="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uiPriority w:val="9"/>
    <w:qFormat/>
    <w:rsid w:val="00a159af"/>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2">
    <w:name w:val="Heading 2"/>
    <w:basedOn w:val="Normal"/>
    <w:link w:val="20"/>
    <w:qFormat/>
    <w:rsid w:val="00ca1452"/>
    <w:pPr>
      <w:spacing w:beforeAutospacing="1" w:afterAutospacing="1"/>
      <w:outlineLvl w:val="1"/>
    </w:pPr>
    <w:rPr>
      <w:b/>
      <w:bCs/>
      <w:sz w:val="36"/>
      <w:szCs w:val="36"/>
      <w:lang w:val="x-none"/>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ca1452"/>
    <w:rPr>
      <w:rFonts w:ascii="Times New Roman" w:hAnsi="Times New Roman" w:eastAsia="Times New Roman" w:cs="Times New Roman"/>
      <w:b/>
      <w:bCs/>
      <w:sz w:val="36"/>
      <w:szCs w:val="36"/>
      <w:lang w:val="x-none" w:eastAsia="ru-RU"/>
    </w:rPr>
  </w:style>
  <w:style w:type="character" w:styleId="Style12" w:customStyle="1">
    <w:name w:val="Интернет-ссылка"/>
    <w:rsid w:val="00ca1452"/>
    <w:rPr>
      <w:color w:val="0000FF"/>
      <w:u w:val="single"/>
    </w:rPr>
  </w:style>
  <w:style w:type="character" w:styleId="FootnoteCharacters" w:customStyle="1">
    <w:name w:val="Footnote Characters"/>
    <w:basedOn w:val="DefaultParagraphFont"/>
    <w:qFormat/>
    <w:rsid w:val="00ca1452"/>
    <w:rPr/>
  </w:style>
  <w:style w:type="character" w:styleId="Style13" w:customStyle="1">
    <w:name w:val="Текст сноски Знак"/>
    <w:basedOn w:val="DefaultParagraphFont"/>
    <w:qFormat/>
    <w:rsid w:val="00ca1452"/>
    <w:rPr>
      <w:rFonts w:ascii="Times New Roman" w:hAnsi="Times New Roman" w:eastAsia="Times New Roman" w:cs="Times New Roman"/>
      <w:sz w:val="24"/>
      <w:szCs w:val="24"/>
      <w:lang w:val="x-none" w:eastAsia="ru-RU"/>
    </w:rPr>
  </w:style>
  <w:style w:type="character" w:styleId="Style14" w:customStyle="1">
    <w:name w:val="Основной текст Знак"/>
    <w:basedOn w:val="DefaultParagraphFont"/>
    <w:qFormat/>
    <w:rsid w:val="00ca1452"/>
    <w:rPr>
      <w:rFonts w:ascii="Times New Roman" w:hAnsi="Times New Roman" w:eastAsia="Times New Roman" w:cs="Times New Roman"/>
      <w:sz w:val="24"/>
      <w:szCs w:val="24"/>
      <w:lang w:val="x-none" w:eastAsia="ru-RU"/>
    </w:rPr>
  </w:style>
  <w:style w:type="character" w:styleId="Style15" w:customStyle="1">
    <w:name w:val="Нижний колонтитул Знак"/>
    <w:basedOn w:val="DefaultParagraphFont"/>
    <w:uiPriority w:val="99"/>
    <w:qFormat/>
    <w:rsid w:val="00ca1452"/>
    <w:rPr>
      <w:rFonts w:ascii="Times New Roman" w:hAnsi="Times New Roman" w:eastAsia="Times New Roman" w:cs="Times New Roman"/>
      <w:sz w:val="24"/>
      <w:szCs w:val="24"/>
      <w:lang w:val="x-none" w:eastAsia="ru-RU"/>
    </w:rPr>
  </w:style>
  <w:style w:type="character" w:styleId="Pagenumber">
    <w:name w:val="page number"/>
    <w:basedOn w:val="DefaultParagraphFont"/>
    <w:qFormat/>
    <w:rsid w:val="00ca1452"/>
    <w:rPr/>
  </w:style>
  <w:style w:type="character" w:styleId="Style16" w:customStyle="1">
    <w:name w:val="Посещённая гиперссылка"/>
    <w:rsid w:val="00ca1452"/>
    <w:rPr>
      <w:color w:val="800080"/>
      <w:u w:val="single"/>
    </w:rPr>
  </w:style>
  <w:style w:type="character" w:styleId="Style17" w:customStyle="1">
    <w:name w:val="Заголовок Знак"/>
    <w:basedOn w:val="DefaultParagraphFont"/>
    <w:qFormat/>
    <w:rsid w:val="00ca1452"/>
    <w:rPr>
      <w:rFonts w:ascii="Arial" w:hAnsi="Arial" w:eastAsia="Lucida Sans Unicode" w:cs="Tahoma"/>
      <w:sz w:val="28"/>
      <w:szCs w:val="28"/>
      <w:lang w:eastAsia="ru-RU" w:bidi="ru-RU"/>
    </w:rPr>
  </w:style>
  <w:style w:type="character" w:styleId="Style18" w:customStyle="1">
    <w:name w:val="Верхний колонтитул Знак"/>
    <w:basedOn w:val="DefaultParagraphFont"/>
    <w:uiPriority w:val="99"/>
    <w:qFormat/>
    <w:rsid w:val="00ca1452"/>
    <w:rPr>
      <w:rFonts w:ascii="Times New Roman" w:hAnsi="Times New Roman" w:eastAsia="Times New Roman" w:cs="Times New Roman"/>
      <w:sz w:val="24"/>
      <w:szCs w:val="24"/>
      <w:lang w:val="x-none" w:eastAsia="ru-RU"/>
    </w:rPr>
  </w:style>
  <w:style w:type="character" w:styleId="Style19" w:customStyle="1">
    <w:name w:val="Текст выноски Знак"/>
    <w:basedOn w:val="DefaultParagraphFont"/>
    <w:uiPriority w:val="99"/>
    <w:semiHidden/>
    <w:qFormat/>
    <w:rsid w:val="00ca1452"/>
    <w:rPr>
      <w:rFonts w:ascii="Tahoma" w:hAnsi="Tahoma" w:eastAsia="Times New Roman" w:cs="Times New Roman"/>
      <w:sz w:val="16"/>
      <w:szCs w:val="16"/>
      <w:lang w:val="x-none" w:eastAsia="x-none"/>
    </w:rPr>
  </w:style>
  <w:style w:type="character" w:styleId="Style20" w:customStyle="1">
    <w:name w:val="Гипертекстовая ссылка"/>
    <w:qFormat/>
    <w:rsid w:val="00ca1452"/>
    <w:rPr>
      <w:color w:val="008000"/>
    </w:rPr>
  </w:style>
  <w:style w:type="character" w:styleId="ConsPlusNormal" w:customStyle="1">
    <w:name w:val="ConsPlusNormal Знак"/>
    <w:qFormat/>
    <w:locked/>
    <w:rsid w:val="00ca1452"/>
    <w:rPr>
      <w:rFonts w:ascii="Arial" w:hAnsi="Arial" w:eastAsia="Times New Roman" w:cs="Arial"/>
      <w:sz w:val="20"/>
      <w:szCs w:val="20"/>
      <w:lang w:eastAsia="ru-RU"/>
    </w:rPr>
  </w:style>
  <w:style w:type="character" w:styleId="Appleconvertedspace" w:customStyle="1">
    <w:name w:val="apple-converted-space"/>
    <w:qFormat/>
    <w:rsid w:val="00ca1452"/>
    <w:rPr/>
  </w:style>
  <w:style w:type="character" w:styleId="Style21" w:customStyle="1">
    <w:name w:val="Текст концевой сноски Знак"/>
    <w:basedOn w:val="DefaultParagraphFont"/>
    <w:uiPriority w:val="99"/>
    <w:qFormat/>
    <w:rsid w:val="00ca1452"/>
    <w:rPr>
      <w:rFonts w:ascii="Times New Roman" w:hAnsi="Times New Roman" w:eastAsia="Times New Roman" w:cs="Times New Roman"/>
      <w:sz w:val="20"/>
      <w:szCs w:val="20"/>
      <w:lang w:val="x-none" w:eastAsia="x-none"/>
    </w:rPr>
  </w:style>
  <w:style w:type="character" w:styleId="Style22" w:customStyle="1">
    <w:name w:val="Привязка концевой сноски"/>
    <w:rPr>
      <w:vertAlign w:val="superscript"/>
    </w:rPr>
  </w:style>
  <w:style w:type="character" w:styleId="EndnoteCharacters" w:customStyle="1">
    <w:name w:val="Endnote Characters"/>
    <w:uiPriority w:val="99"/>
    <w:qFormat/>
    <w:rsid w:val="00ca1452"/>
    <w:rPr>
      <w:vertAlign w:val="superscript"/>
    </w:rPr>
  </w:style>
  <w:style w:type="character" w:styleId="Style23" w:customStyle="1">
    <w:name w:val="Символ концевой сноски"/>
    <w:qFormat/>
    <w:rPr/>
  </w:style>
  <w:style w:type="character" w:styleId="FontStyle26" w:customStyle="1">
    <w:name w:val="Font Style26"/>
    <w:qFormat/>
    <w:rsid w:val="007b2a1b"/>
    <w:rPr>
      <w:rFonts w:ascii="Times New Roman" w:hAnsi="Times New Roman" w:cs="Times New Roman"/>
      <w:sz w:val="22"/>
    </w:rPr>
  </w:style>
  <w:style w:type="character" w:styleId="11" w:customStyle="1">
    <w:name w:val="Заголовок 1 Знак"/>
    <w:basedOn w:val="DefaultParagraphFont"/>
    <w:link w:val="1"/>
    <w:uiPriority w:val="9"/>
    <w:qFormat/>
    <w:rsid w:val="00a159af"/>
    <w:rPr>
      <w:rFonts w:ascii="Calibri Light" w:hAnsi="Calibri Light" w:eastAsia="" w:cs="" w:asciiTheme="majorHAnsi" w:cstheme="majorBidi" w:eastAsiaTheme="majorEastAsia" w:hAnsiTheme="majorHAnsi"/>
      <w:color w:val="2F5496" w:themeColor="accent1" w:themeShade="bf"/>
      <w:sz w:val="32"/>
      <w:szCs w:val="32"/>
      <w:lang w:eastAsia="ru-RU"/>
    </w:rPr>
  </w:style>
  <w:style w:type="character" w:styleId="ListLabel1">
    <w:name w:val="ListLabel 1"/>
    <w:qFormat/>
    <w:rPr>
      <w:sz w:val="24"/>
      <w:szCs w:val="24"/>
    </w:rPr>
  </w:style>
  <w:style w:type="character" w:styleId="ListLabel2">
    <w:name w:val="ListLabel 2"/>
    <w:qFormat/>
    <w:rPr>
      <w:rFonts w:eastAsia="Calibri"/>
    </w:rPr>
  </w:style>
  <w:style w:type="character" w:styleId="ListLabel3">
    <w:name w:val="ListLabel 3"/>
    <w:qFormat/>
    <w:rPr>
      <w:rFonts w:eastAsia="Calibri"/>
      <w:bCs/>
    </w:rPr>
  </w:style>
  <w:style w:type="character" w:styleId="ListLabel4">
    <w:name w:val="ListLabel 4"/>
    <w:qFormat/>
    <w:rPr>
      <w:color w:val="auto"/>
    </w:rPr>
  </w:style>
  <w:style w:type="character" w:styleId="ListLabel5">
    <w:name w:val="ListLabel 5"/>
    <w:qFormat/>
    <w:rPr/>
  </w:style>
  <w:style w:type="character" w:styleId="ListLabel6">
    <w:name w:val="ListLabel 6"/>
    <w:qFormat/>
    <w:rPr>
      <w:iCs/>
      <w:szCs w:val="28"/>
    </w:rPr>
  </w:style>
  <w:style w:type="character" w:styleId="ListLabel7">
    <w:name w:val="ListLabel 7"/>
    <w:qFormat/>
    <w:rPr>
      <w:rFonts w:eastAsia="Calibri" w:eastAsiaTheme="minorHAnsi"/>
      <w:lang w:eastAsia="en-US"/>
    </w:rPr>
  </w:style>
  <w:style w:type="character" w:styleId="ListLabel8">
    <w:name w:val="ListLabel 8"/>
    <w:qFormat/>
    <w:rPr>
      <w:rFonts w:eastAsia="Calibri" w:eastAsiaTheme="minorHAnsi"/>
      <w:color w:val="0000FF"/>
      <w:lang w:eastAsia="en-US"/>
    </w:rPr>
  </w:style>
  <w:style w:type="character" w:styleId="ListLabel9">
    <w:name w:val="ListLabel 9"/>
    <w:qFormat/>
    <w:rPr>
      <w:rFonts w:ascii="Times New Roman" w:hAnsi="Times New Roman" w:cs="Times New Roman"/>
      <w:sz w:val="24"/>
      <w:szCs w:val="24"/>
    </w:rPr>
  </w:style>
  <w:style w:type="character" w:styleId="ListLabel10">
    <w:name w:val="ListLabel 10"/>
    <w:qFormat/>
    <w:rPr>
      <w:rFonts w:eastAsia="Calibri"/>
      <w:color w:val="0000FF"/>
    </w:rPr>
  </w:style>
  <w:style w:type="character" w:styleId="ListLabel11">
    <w:name w:val="ListLabel 11"/>
    <w:qFormat/>
    <w:rPr>
      <w:rFonts w:ascii="Times New Roman" w:hAnsi="Times New Roman" w:cs="Times New Roman"/>
      <w:color w:val="0000FF"/>
      <w:sz w:val="24"/>
      <w:szCs w:val="24"/>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rsid w:val="00ca1452"/>
    <w:pPr>
      <w:spacing w:beforeAutospacing="1" w:afterAutospacing="1"/>
    </w:pPr>
    <w:rPr>
      <w:lang w:val="x-none"/>
    </w:rPr>
  </w:style>
  <w:style w:type="paragraph" w:styleId="Style26">
    <w:name w:val="List"/>
    <w:basedOn w:val="Style25"/>
    <w:rsid w:val="00ca1452"/>
    <w:pPr>
      <w:widowControl w:val="false"/>
      <w:spacing w:beforeAutospacing="0" w:before="280" w:afterAutospacing="0" w:after="120"/>
    </w:pPr>
    <w:rPr>
      <w:rFonts w:ascii="Arial" w:hAnsi="Arial" w:eastAsia="Arial" w:cs="Tahoma"/>
      <w:sz w:val="20"/>
      <w:lang w:bidi="ru-RU"/>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Title"/>
    <w:basedOn w:val="Normal"/>
    <w:qFormat/>
    <w:rsid w:val="00ca1452"/>
    <w:pPr>
      <w:keepNext w:val="true"/>
      <w:widowControl w:val="false"/>
      <w:spacing w:before="240" w:after="120"/>
    </w:pPr>
    <w:rPr>
      <w:rFonts w:ascii="Arial" w:hAnsi="Arial" w:eastAsia="Lucida Sans Unicode" w:cs="Tahoma"/>
      <w:sz w:val="28"/>
      <w:szCs w:val="28"/>
      <w:lang w:bidi="ru-RU"/>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Lohit Devanagari"/>
    </w:rPr>
  </w:style>
  <w:style w:type="paragraph" w:styleId="Consplusnonformat" w:customStyle="1">
    <w:name w:val="consplusnonformat"/>
    <w:basedOn w:val="Normal"/>
    <w:qFormat/>
    <w:rsid w:val="00ca1452"/>
    <w:pPr>
      <w:spacing w:beforeAutospacing="1" w:afterAutospacing="1"/>
    </w:pPr>
    <w:rPr/>
  </w:style>
  <w:style w:type="paragraph" w:styleId="Consplusnormal1" w:customStyle="1">
    <w:name w:val="consplusnormal"/>
    <w:basedOn w:val="Normal"/>
    <w:qFormat/>
    <w:rsid w:val="00ca1452"/>
    <w:pPr>
      <w:spacing w:beforeAutospacing="1" w:afterAutospacing="1"/>
    </w:pPr>
    <w:rPr/>
  </w:style>
  <w:style w:type="paragraph" w:styleId="30" w:customStyle="1">
    <w:name w:val="30"/>
    <w:basedOn w:val="Normal"/>
    <w:qFormat/>
    <w:rsid w:val="00ca1452"/>
    <w:pPr>
      <w:spacing w:beforeAutospacing="1" w:afterAutospacing="1"/>
    </w:pPr>
    <w:rPr/>
  </w:style>
  <w:style w:type="paragraph" w:styleId="Style30">
    <w:name w:val="Footnote Text"/>
    <w:basedOn w:val="Normal"/>
    <w:rsid w:val="00ca1452"/>
    <w:pPr>
      <w:spacing w:beforeAutospacing="1" w:afterAutospacing="1"/>
    </w:pPr>
    <w:rPr>
      <w:lang w:val="x-none"/>
    </w:rPr>
  </w:style>
  <w:style w:type="paragraph" w:styleId="Style31" w:customStyle="1">
    <w:name w:val="Верхний и нижний колонтитулы"/>
    <w:basedOn w:val="Normal"/>
    <w:qFormat/>
    <w:pPr/>
    <w:rPr/>
  </w:style>
  <w:style w:type="paragraph" w:styleId="Style32">
    <w:name w:val="Footer"/>
    <w:basedOn w:val="Normal"/>
    <w:uiPriority w:val="99"/>
    <w:rsid w:val="00ca1452"/>
    <w:pPr>
      <w:tabs>
        <w:tab w:val="center" w:pos="4677" w:leader="none"/>
        <w:tab w:val="right" w:pos="9355" w:leader="none"/>
      </w:tabs>
    </w:pPr>
    <w:rPr>
      <w:lang w:val="x-none"/>
    </w:rPr>
  </w:style>
  <w:style w:type="paragraph" w:styleId="12" w:customStyle="1">
    <w:name w:val="Название1"/>
    <w:basedOn w:val="Normal"/>
    <w:qFormat/>
    <w:rsid w:val="00ca1452"/>
    <w:pPr>
      <w:widowControl w:val="false"/>
      <w:suppressLineNumbers/>
      <w:spacing w:before="120" w:after="120"/>
    </w:pPr>
    <w:rPr>
      <w:rFonts w:ascii="Arial" w:hAnsi="Arial" w:eastAsia="Arial" w:cs="Tahoma"/>
      <w:i/>
      <w:iCs/>
      <w:sz w:val="20"/>
      <w:lang w:bidi="ru-RU"/>
    </w:rPr>
  </w:style>
  <w:style w:type="paragraph" w:styleId="13" w:customStyle="1">
    <w:name w:val="Указатель1"/>
    <w:basedOn w:val="Normal"/>
    <w:qFormat/>
    <w:rsid w:val="00ca1452"/>
    <w:pPr>
      <w:widowControl w:val="false"/>
      <w:suppressLineNumbers/>
    </w:pPr>
    <w:rPr>
      <w:rFonts w:ascii="Arial" w:hAnsi="Arial" w:eastAsia="Arial" w:cs="Tahoma"/>
      <w:sz w:val="20"/>
      <w:lang w:bidi="ru-RU"/>
    </w:rPr>
  </w:style>
  <w:style w:type="paragraph" w:styleId="Style33">
    <w:name w:val="Header"/>
    <w:basedOn w:val="Normal"/>
    <w:uiPriority w:val="99"/>
    <w:unhideWhenUsed/>
    <w:rsid w:val="00ca1452"/>
    <w:pPr>
      <w:tabs>
        <w:tab w:val="center" w:pos="4677" w:leader="none"/>
        <w:tab w:val="right" w:pos="9355" w:leader="none"/>
      </w:tabs>
    </w:pPr>
    <w:rPr>
      <w:lang w:val="x-none"/>
    </w:rPr>
  </w:style>
  <w:style w:type="paragraph" w:styleId="BalloonText">
    <w:name w:val="Balloon Text"/>
    <w:basedOn w:val="Normal"/>
    <w:uiPriority w:val="99"/>
    <w:semiHidden/>
    <w:unhideWhenUsed/>
    <w:qFormat/>
    <w:rsid w:val="00ca1452"/>
    <w:pPr/>
    <w:rPr>
      <w:rFonts w:ascii="Tahoma" w:hAnsi="Tahoma"/>
      <w:sz w:val="16"/>
      <w:szCs w:val="16"/>
      <w:lang w:val="x-none" w:eastAsia="x-none"/>
    </w:rPr>
  </w:style>
  <w:style w:type="paragraph" w:styleId="ConsNormal" w:customStyle="1">
    <w:name w:val="ConsNormal"/>
    <w:qFormat/>
    <w:rsid w:val="00ca1452"/>
    <w:pPr>
      <w:widowControl w:val="false"/>
      <w:bidi w:val="0"/>
      <w:ind w:firstLine="720"/>
      <w:jc w:val="left"/>
    </w:pPr>
    <w:rPr>
      <w:rFonts w:ascii="Arial" w:hAnsi="Arial" w:eastAsia="Times New Roman" w:cs="Arial"/>
      <w:color w:val="auto"/>
      <w:kern w:val="0"/>
      <w:sz w:val="24"/>
      <w:szCs w:val="20"/>
      <w:lang w:eastAsia="ru-RU" w:val="ru-RU" w:bidi="ar-SA"/>
    </w:rPr>
  </w:style>
  <w:style w:type="paragraph" w:styleId="ListParagraph">
    <w:name w:val="List Paragraph"/>
    <w:basedOn w:val="Normal"/>
    <w:uiPriority w:val="34"/>
    <w:qFormat/>
    <w:rsid w:val="00ca1452"/>
    <w:pPr>
      <w:ind w:left="708" w:hanging="0"/>
    </w:pPr>
    <w:rPr/>
  </w:style>
  <w:style w:type="paragraph" w:styleId="Default" w:customStyle="1">
    <w:name w:val="Default"/>
    <w:qFormat/>
    <w:rsid w:val="00ca1452"/>
    <w:pPr>
      <w:widowControl/>
      <w:bidi w:val="0"/>
      <w:jc w:val="left"/>
    </w:pPr>
    <w:rPr>
      <w:rFonts w:ascii="Times New Roman" w:hAnsi="Times New Roman" w:eastAsia="Times New Roman" w:cs="Times New Roman"/>
      <w:color w:val="000000"/>
      <w:kern w:val="0"/>
      <w:sz w:val="24"/>
      <w:szCs w:val="24"/>
      <w:lang w:eastAsia="ru-RU" w:val="ru-RU" w:bidi="ar-SA"/>
    </w:rPr>
  </w:style>
  <w:style w:type="paragraph" w:styleId="22" w:customStyle="1">
    <w:name w:val="Абзац списка2"/>
    <w:basedOn w:val="Normal"/>
    <w:qFormat/>
    <w:rsid w:val="00ca1452"/>
    <w:pPr>
      <w:spacing w:lineRule="auto" w:line="360"/>
      <w:ind w:left="720" w:firstLine="851"/>
      <w:jc w:val="both"/>
    </w:pPr>
    <w:rPr>
      <w:sz w:val="28"/>
      <w:szCs w:val="28"/>
    </w:rPr>
  </w:style>
  <w:style w:type="paragraph" w:styleId="14" w:customStyle="1">
    <w:name w:val="Абзац списка1"/>
    <w:basedOn w:val="Normal"/>
    <w:qFormat/>
    <w:rsid w:val="00ca1452"/>
    <w:pPr>
      <w:spacing w:lineRule="auto" w:line="276" w:before="0" w:after="200"/>
      <w:ind w:left="720" w:hanging="0"/>
    </w:pPr>
    <w:rPr>
      <w:rFonts w:ascii="Calibri" w:hAnsi="Calibri" w:cs="Calibri"/>
      <w:sz w:val="22"/>
      <w:szCs w:val="22"/>
      <w:lang w:eastAsia="en-US"/>
    </w:rPr>
  </w:style>
  <w:style w:type="paragraph" w:styleId="3" w:customStyle="1">
    <w:name w:val="Пункт_3"/>
    <w:basedOn w:val="Normal"/>
    <w:qFormat/>
    <w:rsid w:val="00ca1452"/>
    <w:pPr>
      <w:tabs>
        <w:tab w:val="left" w:pos="1134" w:leader="none"/>
      </w:tabs>
      <w:ind w:left="1134" w:hanging="1133"/>
      <w:jc w:val="both"/>
    </w:pPr>
    <w:rPr>
      <w:sz w:val="28"/>
      <w:szCs w:val="28"/>
    </w:rPr>
  </w:style>
  <w:style w:type="paragraph" w:styleId="ConsPlusNormal2" w:customStyle="1">
    <w:name w:val="ConsPlusNormal"/>
    <w:qFormat/>
    <w:rsid w:val="00ca1452"/>
    <w:pPr>
      <w:widowControl w:val="false"/>
      <w:bidi w:val="0"/>
      <w:ind w:firstLine="720"/>
      <w:jc w:val="left"/>
    </w:pPr>
    <w:rPr>
      <w:rFonts w:ascii="Arial" w:hAnsi="Arial" w:eastAsia="Times New Roman" w:cs="Arial"/>
      <w:color w:val="auto"/>
      <w:kern w:val="0"/>
      <w:sz w:val="24"/>
      <w:szCs w:val="20"/>
      <w:lang w:eastAsia="ru-RU" w:val="ru-RU" w:bidi="ar-SA"/>
    </w:rPr>
  </w:style>
  <w:style w:type="paragraph" w:styleId="31" w:customStyle="1">
    <w:name w:val="Пункт-3"/>
    <w:basedOn w:val="Normal"/>
    <w:qFormat/>
    <w:rsid w:val="00ca1452"/>
    <w:pPr>
      <w:tabs>
        <w:tab w:val="left" w:pos="1701" w:leader="none"/>
      </w:tabs>
      <w:spacing w:lineRule="auto" w:line="288"/>
      <w:ind w:firstLine="567"/>
      <w:jc w:val="both"/>
    </w:pPr>
    <w:rPr>
      <w:sz w:val="28"/>
      <w:szCs w:val="28"/>
    </w:rPr>
  </w:style>
  <w:style w:type="paragraph" w:styleId="S3" w:customStyle="1">
    <w:name w:val="s_3"/>
    <w:basedOn w:val="Normal"/>
    <w:qFormat/>
    <w:rsid w:val="00ca1452"/>
    <w:pPr>
      <w:jc w:val="center"/>
    </w:pPr>
    <w:rPr>
      <w:rFonts w:ascii="Arial" w:hAnsi="Arial" w:cs="Arial"/>
      <w:b/>
      <w:bCs/>
      <w:color w:val="26282F"/>
      <w:sz w:val="26"/>
      <w:szCs w:val="26"/>
    </w:rPr>
  </w:style>
  <w:style w:type="paragraph" w:styleId="Style34">
    <w:name w:val="Endnote Text"/>
    <w:basedOn w:val="Normal"/>
    <w:uiPriority w:val="99"/>
    <w:rsid w:val="00ca1452"/>
    <w:pPr/>
    <w:rPr>
      <w:sz w:val="20"/>
      <w:szCs w:val="20"/>
      <w:lang w:val="x-none" w:eastAsia="x-none"/>
    </w:rPr>
  </w:style>
  <w:style w:type="paragraph" w:styleId="Revision">
    <w:name w:val="Revision"/>
    <w:uiPriority w:val="99"/>
    <w:semiHidden/>
    <w:qFormat/>
    <w:rsid w:val="00ca1452"/>
    <w:pPr>
      <w:widowControl/>
      <w:bidi w:val="0"/>
      <w:jc w:val="left"/>
    </w:pPr>
    <w:rPr>
      <w:rFonts w:ascii="Times New Roman" w:hAnsi="Times New Roman" w:eastAsia="Times New Roman" w:cs="Times New Roman"/>
      <w:color w:val="auto"/>
      <w:kern w:val="0"/>
      <w:sz w:val="24"/>
      <w:szCs w:val="24"/>
      <w:lang w:eastAsia="ru-RU" w:val="ru-RU" w:bidi="ar-SA"/>
    </w:rPr>
  </w:style>
  <w:style w:type="paragraph" w:styleId="NormalWeb">
    <w:name w:val="Normal (Web)"/>
    <w:basedOn w:val="Normal"/>
    <w:uiPriority w:val="99"/>
    <w:semiHidden/>
    <w:unhideWhenUsed/>
    <w:qFormat/>
    <w:rsid w:val="00ca1452"/>
    <w:pPr/>
    <w:rPr/>
  </w:style>
  <w:style w:type="paragraph" w:styleId="Style35" w:customStyle="1">
    <w:name w:val="Содержимое таблицы"/>
    <w:basedOn w:val="Normal"/>
    <w:qFormat/>
    <w:pPr>
      <w:suppressLineNumbers/>
    </w:pPr>
    <w:rPr/>
  </w:style>
  <w:style w:type="paragraph" w:styleId="Style36" w:customStyle="1">
    <w:name w:val="Заголовок таблицы"/>
    <w:basedOn w:val="Style35"/>
    <w:qFormat/>
    <w:pPr>
      <w:jc w:val="center"/>
    </w:pPr>
    <w:rPr>
      <w:b/>
      <w:bCs/>
    </w:rPr>
  </w:style>
  <w:style w:type="paragraph" w:styleId="Style3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7b2a1b"/>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321ED4AED7819494AD465F87620DF26DA07A170430DA7ACBEAD38A19EE35E969EF3751986QAE0H" TargetMode="External"/><Relationship Id="rId3" Type="http://schemas.openxmlformats.org/officeDocument/2006/relationships/hyperlink" Target="consultantplus://offline/ref=1321ED4AED7819494AD465F87620DF26DA07A170430DA7ACBEAD38A19EE35E969EF3751986QAE7H" TargetMode="External"/><Relationship Id="rId4" Type="http://schemas.openxmlformats.org/officeDocument/2006/relationships/hyperlink" Target="consultantplus://offline/ref=C77780B0E804D339FE1729E300480295DC9FB1EB3BA05F4231D5F1112D9997F6AAC678B845BEEB3EhBL1K" TargetMode="External"/><Relationship Id="rId5" Type="http://schemas.openxmlformats.org/officeDocument/2006/relationships/hyperlink" Target="garantf1://890941.1829" TargetMode="External"/><Relationship Id="rId6" Type="http://schemas.openxmlformats.org/officeDocument/2006/relationships/hyperlink" Target="consultantplus://offline/ref=269FA3BA7ED5518A3AEFF6780F75EA38056FA1545A96265F0A57A1F3938FB188DDCF307C253E70ACr8u8F" TargetMode="External"/><Relationship Id="rId7" Type="http://schemas.openxmlformats.org/officeDocument/2006/relationships/hyperlink" Target="consultantplus://offline/ref=269FA3BA7ED5518A3AEFF6780F75EA38056FA1545A96265F0A57A1F3938FB188DDCF307C253E71A2r8uDF" TargetMode="External"/><Relationship Id="rId8" Type="http://schemas.openxmlformats.org/officeDocument/2006/relationships/hyperlink" Target="consultantplus://offline/ref=274373B83F7D2939E1652B7DA948127DE641AC8CEA3D2663310D67F61BE0D89D281A57DD0BD058E6pF7DI" TargetMode="External"/><Relationship Id="rId9" Type="http://schemas.openxmlformats.org/officeDocument/2006/relationships/hyperlink" Target="http://www.zakupki.gov.ru/" TargetMode="External"/><Relationship Id="rId10" Type="http://schemas.openxmlformats.org/officeDocument/2006/relationships/hyperlink" Target="garantf1://12088083.415" TargetMode="External"/><Relationship Id="rId11" Type="http://schemas.openxmlformats.org/officeDocument/2006/relationships/hyperlink" Target="garantf1://85134.0" TargetMode="External"/><Relationship Id="rId12" Type="http://schemas.openxmlformats.org/officeDocument/2006/relationships/hyperlink" Target="garantf1://79222.0" TargetMode="External"/><Relationship Id="rId13" Type="http://schemas.openxmlformats.org/officeDocument/2006/relationships/hyperlink" Target="garantf1://79064.0" TargetMode="External"/><Relationship Id="rId14" Type="http://schemas.openxmlformats.org/officeDocument/2006/relationships/hyperlink" Target="consultantplus://offline/ref=FA329822B281ACFAE79893FB514F19780E1CCEAEDA477D59FD80B58662F961E32B86989FCB952F80yCYFN" TargetMode="External"/><Relationship Id="rId15" Type="http://schemas.openxmlformats.org/officeDocument/2006/relationships/hyperlink" Target="consultantplus://offline/ref=2BF97E6AFD2CB6DD475806219B56A5A47440CE0BBC7B8E9187A5E224913C9F58E7A6DC953BFCE2F56DqAN" TargetMode="External"/><Relationship Id="rId16" Type="http://schemas.openxmlformats.org/officeDocument/2006/relationships/hyperlink" Target="consultantplus://offline/ref=2BF97E6AFD2CB6DD475806219B56A5A47440CE0BBC7B8E9187A5E224913C9F58E7A6DC953BFCE2F56DqFN" TargetMode="External"/><Relationship Id="rId17" Type="http://schemas.openxmlformats.org/officeDocument/2006/relationships/hyperlink" Target="consultantplus://offline/ref=2BF97E6AFD2CB6DD475806219B56A5A47440CE0BBC7B8E9187A5E224913C9F58E7A6DC953BFCE2F26Dq9N" TargetMode="External"/><Relationship Id="rId18" Type="http://schemas.openxmlformats.org/officeDocument/2006/relationships/hyperlink" Target="consultantplus://offline/ref=2BF97E6AFD2CB6DD475806219B56A5A47440CE0BBC7B8E9187A5E224913C9F58E7A6DC953BFCE2F26DqBN" TargetMode="External"/><Relationship Id="rId19" Type="http://schemas.openxmlformats.org/officeDocument/2006/relationships/hyperlink" Target="consultantplus://offline/ref=2BF97E6AFD2CB6DD475806219B56A5A47440CE0BBC7B8E9187A5E224913C9F58E7A6DC953BFCE2F56DqAN" TargetMode="External"/><Relationship Id="rId20" Type="http://schemas.openxmlformats.org/officeDocument/2006/relationships/hyperlink" Target="consultantplus://offline/ref=2BF97E6AFD2CB6DD475806219B56A5A47440CE0BBC7B8E9187A5E224913C9F58E7A6DC953BFCE2F56DqFN" TargetMode="External"/><Relationship Id="rId21" Type="http://schemas.openxmlformats.org/officeDocument/2006/relationships/hyperlink" Target="consultantplus://offline/ref=2BF97E6AFD2CB6DD475806219B56A5A47440CE0BBC7B8E9187A5E224913C9F58E7A6DC953BFCE2F26Dq8N" TargetMode="External"/><Relationship Id="rId22" Type="http://schemas.openxmlformats.org/officeDocument/2006/relationships/hyperlink" Target="consultantplus://offline/ref=2BF97E6AFD2CB6DD475806219B56A5A47440CE0BBC7B8E9187A5E224913C9F58E7A6DC953BFCE2F26DqBN" TargetMode="External"/><Relationship Id="rId23" Type="http://schemas.openxmlformats.org/officeDocument/2006/relationships/hyperlink" Target="consultantplus://offline/ref=2BF97E6AFD2CB6DD475806219B56A5A47441C700B97D8E9187A5E2249163qCN" TargetMode="External"/><Relationship Id="rId24" Type="http://schemas.openxmlformats.org/officeDocument/2006/relationships/hyperlink" Target="consultantplus://offline/ref=2BF97E6AFD2CB6DD475806219B56A5A47441C700B6798E9187A5E2249163qCN" TargetMode="External"/><Relationship Id="rId25" Type="http://schemas.openxmlformats.org/officeDocument/2006/relationships/hyperlink" Target="consultantplus://offline/ref=513567F338C7C02118CB99E86E166ACA6616E67F947859EC7671DE3DFD76024AAEB4C5572CZDeCI" TargetMode="External"/><Relationship Id="rId26" Type="http://schemas.openxmlformats.org/officeDocument/2006/relationships/hyperlink" Target="consultantplus://offline/ref=219BCF7FE261BC411D3972EBDB17B8CA03D843A33B6DC25859BFE46E01DEE57760B9ADED2Fo5d5I" TargetMode="External"/><Relationship Id="rId27" Type="http://schemas.openxmlformats.org/officeDocument/2006/relationships/hyperlink" Target="consultantplus://offline/ref=219BCF7FE261BC411D3972EBDB17B8CA03D843A33B6DC25859BFE46E01DEE57760B9ADEF2Eo5dDI" TargetMode="External"/><Relationship Id="rId28" Type="http://schemas.openxmlformats.org/officeDocument/2006/relationships/hyperlink" Target="consultantplus://offline/ref=96503A392D9AAE9E5475C55E7A4B1E15D4DD1B8880108B1595B359BCEBBFA1C9AA69AFB38DL1o5I" TargetMode="External"/><Relationship Id="rId29" Type="http://schemas.openxmlformats.org/officeDocument/2006/relationships/hyperlink" Target="consultantplus://offline/ref=CC98A8ADFDA79A39ED54DB5D41A07FDF26CED1BD59890DF61BE19746C95407D9FB7737392DH635F" TargetMode="External"/><Relationship Id="rId30" Type="http://schemas.openxmlformats.org/officeDocument/2006/relationships/hyperlink" Target="consultantplus://offline/ref=CC98A8ADFDA79A39ED54DB5D41A07FDF26CED1BD59890DF61BE19746C95407D9FB7737392DH634F" TargetMode="External"/><Relationship Id="rId31" Type="http://schemas.openxmlformats.org/officeDocument/2006/relationships/hyperlink" Target="consultantplus://offline/ref=CC98A8ADFDA79A39ED54DB5D41A07FDF26CED1BD59890DF61BE19746C95407D9FB7737392E67B9ADH236F" TargetMode="External"/><Relationship Id="rId32" Type="http://schemas.openxmlformats.org/officeDocument/2006/relationships/hyperlink" Target="consultantplus://offline/ref=19EA5F59B478276C4CEBBDF8B4F260839AD1DB9611FB2B286AAD21417DC961798D338F87FF453C3CE4G" TargetMode="External"/><Relationship Id="rId33" Type="http://schemas.openxmlformats.org/officeDocument/2006/relationships/hyperlink" Target="consultantplus://offline/ref=24BC37BC0441A9954E15A144A3E387C790459AA636B6C5A843ADDE82DC2FE69CD01491535D14A65El34DJ" TargetMode="External"/><Relationship Id="rId34" Type="http://schemas.openxmlformats.org/officeDocument/2006/relationships/hyperlink" Target="consultantplus://offline/ref=C0F62020496CD74234AFC9F46B7DFEF6447495996167FAC8E109C502087125C5D1B3B52FC7096FFA13RDL" TargetMode="External"/><Relationship Id="rId35" Type="http://schemas.openxmlformats.org/officeDocument/2006/relationships/hyperlink" Target="consultantplus://offline/ref=C0F62020496CD74234AFC9F46B7DFEF6447495996167FAC8E109C502087125C5D1B3B52FC7096FFA13RCL" TargetMode="External"/><Relationship Id="rId36" Type="http://schemas.openxmlformats.org/officeDocument/2006/relationships/hyperlink" Target="consultantplus://offline/ref=E8B33F058F18358C2E8F35CAB565B79BB0AD30AB32406EA29F0FA85285k0RDN" TargetMode="External"/><Relationship Id="rId37" Type="http://schemas.openxmlformats.org/officeDocument/2006/relationships/hyperlink" Target="consultantplus://offline/ref=582E02CF68208CEB1D0674E47D01CE66530A612DC2AC3881C7DA2B493AZDi4I" TargetMode="External"/><Relationship Id="rId38" Type="http://schemas.openxmlformats.org/officeDocument/2006/relationships/hyperlink" Target="consultantplus://offline/ref=48E257163B9AC8BA29A5C2408DC2B30D143924EEF3A1DBCE7958A6FA79AE54A5068D3B70AAEE0DE2A1064C3D42D4525468BE5D1922q0yAH" TargetMode="External"/><Relationship Id="rId39" Type="http://schemas.openxmlformats.org/officeDocument/2006/relationships/hyperlink" Target="consultantplus://offline/ref=582E02CF68208CEB1D0674E47D01CE6653016628CEA93881C7DA2B493AZDi4I" TargetMode="External"/><Relationship Id="rId40" Type="http://schemas.openxmlformats.org/officeDocument/2006/relationships/hyperlink" Target="consultantplus://offline/ref=381081C09504BE52ED92344B980EE00793B7621D4447CB94BDE751E304AA0599D5A7DCA7484963BC241679F49537B449CC033ACD62C6lDo9I" TargetMode="External"/><Relationship Id="rId41" Type="http://schemas.openxmlformats.org/officeDocument/2006/relationships/hyperlink" Target="consultantplus://offline/ref=E50A97CB854D3FCF8E4A3379A0E003CFBCC8973856EF5E3C10D360EA73F5CC5333F780CF42869E4808685C2B0495C20482FA65C4DAD3HAs5I" TargetMode="External"/><Relationship Id="rId42" Type="http://schemas.openxmlformats.org/officeDocument/2006/relationships/hyperlink" Target="consultantplus://offline/ref=5666E1F469F152F0EE7DB9CBFF001B76AD59350623BB66D6D820B2ADEEA0D40E8C8B9A675F0C89F3465EDA3C3EA4358FB9891279599D4CdBt7I" TargetMode="External"/><Relationship Id="rId43" Type="http://schemas.openxmlformats.org/officeDocument/2006/relationships/hyperlink" Target="consultantplus://offline/ref=5666E1F469F152F0EE7DB9CBFF001B76AD59300523B966D6D820B2ADEEA0D40E8C8B9A635A0386A11C4EDE756BAF2B89AE97196759d9tFI" TargetMode="External"/><Relationship Id="rId44" Type="http://schemas.openxmlformats.org/officeDocument/2006/relationships/hyperlink" Target="consultantplus://offline/ref=582E02CF68208CEB1D0674E47D01CE6653016628CEA93881C7DA2B493AZDi4I" TargetMode="External"/><Relationship Id="rId45" Type="http://schemas.openxmlformats.org/officeDocument/2006/relationships/hyperlink" Target="consultantplus://offline/ref=6D650B6AF306E33C2BEAB547A1FCB8CC76D79DDD6F8971513AC1B517C7D829BEAD1BC0BB6DDB9404EB3E410F43A7FF8F2D76B904B42Eh8I" TargetMode="External"/><Relationship Id="rId46" Type="http://schemas.openxmlformats.org/officeDocument/2006/relationships/hyperlink" Target="consultantplus://offline/ref=960974D5FB6C571785FD54D02115C9396DE74F9FD65CF29B74DA65CD4F59BD7C360029EA68AC0AA419128D121251547FCF2B5EA527e6D3J" TargetMode="External"/><Relationship Id="rId47" Type="http://schemas.openxmlformats.org/officeDocument/2006/relationships/hyperlink" Target="consultantplus://offline/ref=960974D5FB6C571785FD54D02115C9396DE74E9DD654F29B74DA65CD4F59BD7C360029EC60AA03FB1C079C4A1F594261C93342A72560e8D8J" TargetMode="External"/><Relationship Id="rId48" Type="http://schemas.openxmlformats.org/officeDocument/2006/relationships/hyperlink" Target="consultantplus://offline/ref=960974D5FB6C571785FD54D02115C9396DE74E9DD654F29B74DA65CD4F59BD7C360029EE68AE05FB1C079C4A1F594261C93342A72560e8D8J" TargetMode="External"/><Relationship Id="rId49" Type="http://schemas.openxmlformats.org/officeDocument/2006/relationships/hyperlink" Target="consultantplus://offline/ref=960974D5FB6C571785FD54D02115C9396DE74D9ED25CF29B74DA65CD4F59BD7C360029EE69AF09F94F5D8C4E560C477FC12B5CA33B608993eED1J" TargetMode="External"/><Relationship Id="rId50" Type="http://schemas.openxmlformats.org/officeDocument/2006/relationships/hyperlink" Target="consultantplus://offline/ref=960974D5FB6C571785FD54D02115C9396DE74D9ED25CF29B74DA65CD4F59BD7C360029ED69AB05FB1C079C4A1F594261C93342A72560e8D8J" TargetMode="External"/><Relationship Id="rId51" Type="http://schemas.openxmlformats.org/officeDocument/2006/relationships/hyperlink" Target="consultantplus://offline/ref=960974D5FB6C571785FD54D02115C9396DE74D9ED25CF29B74DA65CD4F59BD7C360029ED69A903FB1C079C4A1F594261C93342A72560e8D8J" TargetMode="External"/><Relationship Id="rId52" Type="http://schemas.openxmlformats.org/officeDocument/2006/relationships/hyperlink" Target="consultantplus://offline/ref=960974D5FB6C571785FD54D02115C9396DE74D9ED25CF29B74DA65CD4F59BD7C360029ED69A607FB1C079C4A1F594261C93342A72560e8D8J" TargetMode="External"/><Relationship Id="rId53" Type="http://schemas.openxmlformats.org/officeDocument/2006/relationships/hyperlink" Target="consultantplus://offline/ref=960974D5FB6C571785FD54D02115C9396DE74F9FD65CF29B74DA65CD4F59BD7C360029ED6FAC01FB1C079C4A1F594261C93342A72560e8D8J" TargetMode="External"/><Relationship Id="rId54" Type="http://schemas.openxmlformats.org/officeDocument/2006/relationships/hyperlink" Target="consultantplus://offline/ref=7AC5FA05B95596F0430D9C850127ADBF3C717BC640F5388885E85AD17382438EEF656F9329D5661E49ACB75D6833D88698E06D8558f9L7J" TargetMode="External"/><Relationship Id="rId55" Type="http://schemas.openxmlformats.org/officeDocument/2006/relationships/hyperlink" Target="consultantplus://offline/ref=092B4A67EF4C7B316D6BD26B110CC07CB832B4AF320EAD3696AA90D8E9307CC2FB9339E7DFEDE3CCE348AF2E4947ED42C9F51B9FFD72c6J" TargetMode="External"/><Relationship Id="rId56" Type="http://schemas.openxmlformats.org/officeDocument/2006/relationships/hyperlink" Target="consultantplus://offline/ref=4C047E5E1C3BEBF0BA5DB8F4164287D8BBFD35EC03778C4FF6B203BBB3E39D583F27CDBF8A9DB5F27FEA518657242CCA02EB01FA75cDXFL" TargetMode="External"/><Relationship Id="rId57" Type="http://schemas.openxmlformats.org/officeDocument/2006/relationships/hyperlink" Target="consultantplus://offline/ref=C0A094D0D4E34884534D447D558D6E92DCC10C60CA35825B0BE8D3865A53DC78BEE44B459FAC7CDCA1FE504CA63E250B85DABEB7FEA6ZCL" TargetMode="External"/><Relationship Id="rId58" Type="http://schemas.openxmlformats.org/officeDocument/2006/relationships/hyperlink" Target="consultantplus://offline/ref=C0A094D0D4E34884534D447D558D6E92DCC10C60CA35825B0BE8D3865A53DC78BEE44B4591A47CDCA1FE504CA63E250B85DABEB7FEA6ZCL" TargetMode="External"/><Relationship Id="rId59" Type="http://schemas.openxmlformats.org/officeDocument/2006/relationships/hyperlink" Target="consultantplus://offline/ref=C0A094D0D4E34884534D447D558D6E92DCC10C60CA35825B0BE8D3865A53DC78BEE44B4590A47CDCA1FE504CA63E250B85DABEB7FEA6ZCL" TargetMode="External"/><Relationship Id="rId60" Type="http://schemas.openxmlformats.org/officeDocument/2006/relationships/hyperlink" Target="consultantplus://offline/ref=C0A094D0D4E34884534D447D558D6E92DCC10C60CA35825B0BE8D3865A53DC78BEE44B4590A57CDCA1FE504CA63E250B85DABEB7FEA6ZCL" TargetMode="External"/><Relationship Id="rId61" Type="http://schemas.openxmlformats.org/officeDocument/2006/relationships/hyperlink" Target="consultantplus://offline/ref=4C047E5E1C3BEBF0BA5DB8F4164287D8BBFD35EC03778C4FF6B203BBB3E39D583F27CDBF8A9DB5F27FEA518657242CCA02EB01FA75cDXFL" TargetMode="External"/><Relationship Id="rId62" Type="http://schemas.openxmlformats.org/officeDocument/2006/relationships/hyperlink" Target="consultantplus://offline/ref=C0A094D0D4E34884534D447D558D6E92DCC10C60CA35825B0BE8D3865A53DC78BEE44B459FAC7CDCA1FE504CA63E250B85DABEB7FEA6ZCL" TargetMode="External"/><Relationship Id="rId63" Type="http://schemas.openxmlformats.org/officeDocument/2006/relationships/hyperlink" Target="consultantplus://offline/ref=C0A094D0D4E34884534D447D558D6E92DCC10C60CA35825B0BE8D3865A53DC78BEE44B4591A47CDCA1FE504CA63E250B85DABEB7FEA6ZCL" TargetMode="External"/><Relationship Id="rId64" Type="http://schemas.openxmlformats.org/officeDocument/2006/relationships/hyperlink" Target="consultantplus://offline/ref=C0A094D0D4E34884534D447D558D6E92DCC10C60CA35825B0BE8D3865A53DC78BEE44B4590A47CDCA1FE504CA63E250B85DABEB7FEA6ZCL" TargetMode="External"/><Relationship Id="rId65" Type="http://schemas.openxmlformats.org/officeDocument/2006/relationships/hyperlink" Target="consultantplus://offline/ref=C0A094D0D4E34884534D447D558D6E92DCC10C60CA35825B0BE8D3865A53DC78BEE44B4590A57CDCA1FE504CA63E250B85DABEB7FEA6ZCL" TargetMode="External"/><Relationship Id="rId66" Type="http://schemas.openxmlformats.org/officeDocument/2006/relationships/hyperlink" Target="consultantplus://offline/ref=2FA0D0E7D8A193BA30551D5ED5A70CE4B9B78286E3099DABAF13C6616BF55CAC9DC83223EE9412380F71F4265D156B98D4F50C42CAGBqEL" TargetMode="External"/><Relationship Id="rId67" Type="http://schemas.openxmlformats.org/officeDocument/2006/relationships/hyperlink" Target="consultantplus://offline/ref=2FA0D0E7D8A193BA30551D5ED5A70CE4B9B78286E3099DABAF13C6616BF55CAC9DC83223E09312380F71F4265D156B98D4F50C42CAGBqEL" TargetMode="External"/><Relationship Id="rId68" Type="http://schemas.openxmlformats.org/officeDocument/2006/relationships/hyperlink" Target="consultantplus://offline/ref=896B40E3613C3EFB9997821DB5643BEAB64360BBA6E316478DD4664551B2116F1D6E5A19B31A7FA430DA1307C103616F02FE576E5FI4FEM" TargetMode="External"/><Relationship Id="rId69" Type="http://schemas.openxmlformats.org/officeDocument/2006/relationships/hyperlink" Target="consultantplus://offline/ref=8CC1E8790ABC17D19A6E216FE8B4713458DE5349302F6D8982406EC73055FAD0A4A9270726FE66B1B40117420F871612E7D670DA03s0aDM" TargetMode="External"/><Relationship Id="rId70" Type="http://schemas.openxmlformats.org/officeDocument/2006/relationships/hyperlink" Target="consultantplus://offline/ref=6D94A6B13E5F8E8F7383E1F07888308BA8BBD961C4A82C01ACD61A7DED65FF4957896B1764y2i7I" TargetMode="External"/><Relationship Id="rId71" Type="http://schemas.openxmlformats.org/officeDocument/2006/relationships/hyperlink" Target="consultantplus://offline/ref=6D94A6B13E5F8E8F7383E1F07888308BA8BBD961C4A82C01ACD61A7DED65FF4957896B1765y2i6I" TargetMode="External"/><Relationship Id="rId72" Type="http://schemas.openxmlformats.org/officeDocument/2006/relationships/hyperlink" Target="consultantplus://offline/ref=C0F62020496CD74234AFC9F46B7DFEF6447495996167FAC8E109C502087125C5D1B3B52FC7096FFA13RCL" TargetMode="External"/><Relationship Id="rId73" Type="http://schemas.openxmlformats.org/officeDocument/2006/relationships/hyperlink" Target="consultantplus://offline/ref=3A54273F6914B5D86E097CFD4F9BEB982586E0F8371A1E1B4C51F68F884523B764E6E6u6oFN" TargetMode="External"/><Relationship Id="rId74" Type="http://schemas.openxmlformats.org/officeDocument/2006/relationships/hyperlink" Target="consultantplus://offline/ref=BDB1F9F6D8BBD08EC4F4DFECFC2CAF0F6D30D349B5DB97862C4B56303D086E7A8706456616dCG9H" TargetMode="External"/><Relationship Id="rId75" Type="http://schemas.openxmlformats.org/officeDocument/2006/relationships/hyperlink" Target="consultantplus://offline/ref=BDB1F9F6D8BBD08EC4F4DFECFC2CAF0F6D30D349B5DB97862C4B56303D086E7A8706456618dCGCH" TargetMode="External"/><Relationship Id="rId76" Type="http://schemas.openxmlformats.org/officeDocument/2006/relationships/hyperlink" Target="consultantplus://offline/ref=0E62C5F3234C53EB87F3D46B0A448ECAA04EFECD42D4FFC4386EEB3C346B2646E20ECAAC6F5B2361T8h2H" TargetMode="External"/><Relationship Id="rId77" Type="http://schemas.openxmlformats.org/officeDocument/2006/relationships/hyperlink" Target="consultantplus://offline/ref=6ACB3CCE759AF03472B57DC415D6EBC461BED204A0BA0121540A65A61AV1JFI" TargetMode="External"/><Relationship Id="rId78" Type="http://schemas.openxmlformats.org/officeDocument/2006/relationships/hyperlink" Target="consultantplus://offline/ref=6ACB3CCE759AF03472B57DC415D6EBC461BFDD00A7B00121540A65A61A1F0A3931C725889AVAJBI" TargetMode="External"/><Relationship Id="rId79" Type="http://schemas.openxmlformats.org/officeDocument/2006/relationships/hyperlink" Target="consultantplus://offline/ref=06877484003500E6AE7ECFA958B1617413331A03EC710ECCBF16A3A72FFCEEDDE9E64DB4EB551797j76DM" TargetMode="External"/><Relationship Id="rId80" Type="http://schemas.openxmlformats.org/officeDocument/2006/relationships/hyperlink" Target="garantf1://70253464.104" TargetMode="External"/><Relationship Id="rId81" Type="http://schemas.openxmlformats.org/officeDocument/2006/relationships/hyperlink" Target="consultantplus://offline/ref=4D135165E521686EBB2175837AE624E72FA86197908B7F5D46A07D234A3FB27C3B6F31B12FO3r6J" TargetMode="External"/><Relationship Id="rId82" Type="http://schemas.openxmlformats.org/officeDocument/2006/relationships/hyperlink" Target="consultantplus://offline/ref=A47D2A5D02F63CECDA2EB889FF8FC4432C5FD23FDE347567F5AAA4B10AA1C994F804955FCC08t4I" TargetMode="External"/><Relationship Id="rId83" Type="http://schemas.openxmlformats.org/officeDocument/2006/relationships/hyperlink" Target="consultantplus://offline/ref=F9DDA78C8B8D864DBC426B9D32D5D7FF8BD0B2FE9EC5BF957951B750EAF6B87A106438425A494EFA1011DF59A9W80CG" TargetMode="External"/><Relationship Id="rId84" Type="http://schemas.openxmlformats.org/officeDocument/2006/relationships/hyperlink" Target="consultantplus://offline/ref=9B6FD57B73B1E8A7F6EEBD97A7DEFC50F9C8BEDA4B75855CF03E7CC2672389E579E5E81C2EBC3EC731100E4813pD18G" TargetMode="External"/><Relationship Id="rId85" Type="http://schemas.openxmlformats.org/officeDocument/2006/relationships/hyperlink" Target="consultantplus://offline/ref=C8939803C73ED29C2926E9C427FE67E1DAE27F9276CE79A5EFA11E9BC1BA29E9E80ACDABB557B70429F0C55B23YAk9L" TargetMode="External"/><Relationship Id="rId86" Type="http://schemas.openxmlformats.org/officeDocument/2006/relationships/hyperlink" Target="consultantplus://offline/ref=C8939803C73ED29C2926E9C427FE67E1DAE27F9277C979A5EFA11E9BC1BA29E9E80ACDABB557B70429F0C55B23YAk9L" TargetMode="External"/><Relationship Id="rId87" Type="http://schemas.openxmlformats.org/officeDocument/2006/relationships/hyperlink" Target="consultantplus://offline/ref=C8939803C73ED29C2926E9C427FE67E1DAE27D9175CC79A5EFA11E9BC1BA29E9E80ACDABB557B70429F0C55B23YAk9L" TargetMode="External"/><Relationship Id="rId88" Type="http://schemas.openxmlformats.org/officeDocument/2006/relationships/hyperlink" Target="consultantplus://offline/ref=C8939803C73ED29C2926E9C427FE67E1DAE27F9276CE79A5EFA11E9BC1BA29E9E80ACDABB557B70429F0C55B23YAk9L" TargetMode="External"/><Relationship Id="rId89" Type="http://schemas.openxmlformats.org/officeDocument/2006/relationships/hyperlink" Target="consultantplus://offline/ref=C8939803C73ED29C2926E9C427FE67E1DAE27F9277C979A5EFA11E9BC1BA29E9E80ACDABB557B70429F0C55B23YAk9L" TargetMode="External"/><Relationship Id="rId90" Type="http://schemas.openxmlformats.org/officeDocument/2006/relationships/hyperlink" Target="consultantplus://offline/ref=C8939803C73ED29C2926E9C427FE67E1DAE27D9175CC79A5EFA11E9BC1BA29E9E80ACDABB557B70429F0C55B23YAk9L" TargetMode="External"/><Relationship Id="rId91" Type="http://schemas.openxmlformats.org/officeDocument/2006/relationships/hyperlink" Target="consultantplus://offline/ref=C8939803C73ED29C2926E9C427FE67E1DAE27F9277C979A5EFA11E9BC1BA29E9E80ACDABB557B70429F0C55B23YAk9L" TargetMode="External"/><Relationship Id="rId92" Type="http://schemas.openxmlformats.org/officeDocument/2006/relationships/hyperlink" Target="consultantplus://offline/ref=C8939803C73ED29C2926E9C427FE67E1DAE27D9175CC79A5EFA11E9BC1BA29E9E80ACDABB557B70429F0C55B23YAk9L" TargetMode="External"/><Relationship Id="rId93" Type="http://schemas.openxmlformats.org/officeDocument/2006/relationships/hyperlink" Target="consultantplus://offline/ref=D67D80D92A27F2178340A76A7F4BD7CD46EAED9BC758FF3927A920F1F8s8iCO" TargetMode="External"/><Relationship Id="rId94" Type="http://schemas.openxmlformats.org/officeDocument/2006/relationships/hyperlink" Target="consultantplus://offline/ref=D67D80D92A27F2178340A76A7F4BD7CD46EBE29FC052FF3927A920F1F88C5BF74894CFC536sCi5O" TargetMode="External"/><Relationship Id="rId95" Type="http://schemas.openxmlformats.org/officeDocument/2006/relationships/hyperlink" Target="consultantplus://offline/ref=332081CA5B9EE6818A9E79E0172D09CB11DD821B60C5936D545F6035048204F9ED4C5702425F181FCC5ABFB670D23A9AC5E11544E0195AfDOCL" TargetMode="External"/><Relationship Id="rId96" Type="http://schemas.openxmlformats.org/officeDocument/2006/relationships/hyperlink" Target="consultantplus://offline/ref=63831ECF32E148558B8EF3A2C2FF523E58820D2823C2F1C72EF08E445FCB64746B5302AE795627C2E0I" TargetMode="External"/><Relationship Id="rId97" Type="http://schemas.openxmlformats.org/officeDocument/2006/relationships/hyperlink" Target="consultantplus://offline/ref=B68C104C584F0C4E805808D20748119158B78451BCDAC1B189B1FE6613B8C2876F88ACB320A422QEp6J" TargetMode="External"/><Relationship Id="rId98" Type="http://schemas.openxmlformats.org/officeDocument/2006/relationships/hyperlink" Target="consultantplus://offline/ref=4F1B578C606FF839A63B0F0D7DAC19CB2C15D1636F838E423B158C7D46CDC67744C4C190A40A40f3yCL" TargetMode="External"/><Relationship Id="rId99" Type="http://schemas.openxmlformats.org/officeDocument/2006/relationships/hyperlink" Target="consultantplus://offline/ref=9C69AE5534E2BCF219BBFABA89AD14FB4E89A43E0902B99D13E722F7B041606CEA1B69A8F0C77778F5E5753613F902L" TargetMode="External"/><Relationship Id="rId100" Type="http://schemas.openxmlformats.org/officeDocument/2006/relationships/hyperlink" Target="consultantplus://offline/ref=9C69AE5534E2BCF219BBFABA89AD14FB4E89A43E0805B99D13E722F7B041606CEA1B69A8F0C77778F5E5753613F902L" TargetMode="External"/><Relationship Id="rId101" Type="http://schemas.openxmlformats.org/officeDocument/2006/relationships/hyperlink" Target="consultantplus://offline/ref=9C69AE5534E2BCF219BBFABA89AD14FB4E89A63D0A00B99D13E722F7B041606CEA1B69A8F0C77778F5E5753613F902L" TargetMode="External"/><Relationship Id="rId102" Type="http://schemas.openxmlformats.org/officeDocument/2006/relationships/hyperlink" Target="consultantplus://offline/ref=9C69AE5534E2BCF219BBFABA89AD14FB4E89A43E0902B99D13E722F7B041606CEA1B69A8F0C77778F5E5753613F902L" TargetMode="External"/><Relationship Id="rId103" Type="http://schemas.openxmlformats.org/officeDocument/2006/relationships/hyperlink" Target="consultantplus://offline/ref=9C69AE5534E2BCF219BBFABA89AD14FB4E89A43E0805B99D13E722F7B041606CEA1B69A8F0C77778F5E5753613F902L" TargetMode="External"/><Relationship Id="rId104" Type="http://schemas.openxmlformats.org/officeDocument/2006/relationships/hyperlink" Target="consultantplus://offline/ref=9C69AE5534E2BCF219BBFABA89AD14FB4E89A63D0A00B99D13E722F7B041606CEA1B69A8F0C77778F5E5753613F902L" TargetMode="External"/><Relationship Id="rId105" Type="http://schemas.openxmlformats.org/officeDocument/2006/relationships/hyperlink" Target="consultantplus://offline/ref=9C69AE5534E2BCF219BBFABA89AD14FB4E89A43E0805B99D13E722F7B041606CEA1B69A8F0C77778F5E5753613F902L" TargetMode="External"/><Relationship Id="rId106" Type="http://schemas.openxmlformats.org/officeDocument/2006/relationships/hyperlink" Target="consultantplus://offline/ref=9C69AE5534E2BCF219BBFABA89AD14FB4E89A63D0A00B99D13E722F7B041606CEA1B69A8F0C77778F5E5753613F902L" TargetMode="External"/><Relationship Id="rId107" Type="http://schemas.openxmlformats.org/officeDocument/2006/relationships/hyperlink" Target="consultantplus://offline/ref=5BF089A41DEFB36D4B83F94240147C4758674F961EA3E4C1D8E3DD8E22i7OFN" TargetMode="External"/><Relationship Id="rId108" Type="http://schemas.openxmlformats.org/officeDocument/2006/relationships/hyperlink" Target="consultantplus://offline/ref=5BF089A41DEFB36D4B83F94240147C475866409219A9E4C1D8E3DD8E227F65202B714805C5i6O5N" TargetMode="External"/><Relationship Id="rId109" Type="http://schemas.openxmlformats.org/officeDocument/2006/relationships/hyperlink" Target="consultantplus://offline/ref=7DB0BEF7CA2F265C4BE2566BC8D31B1719424127E07D9A09E7A7E2FF10A9C28CC9AE8E613F0C70j2D9M" TargetMode="External"/><Relationship Id="rId110" Type="http://schemas.openxmlformats.org/officeDocument/2006/relationships/hyperlink" Target="consultantplus://offline/ref=D67D80D92A27F2178340A76A7F4BD7CD46EAED9BC758FF3927A920F1F8s8iCO" TargetMode="External"/><Relationship Id="rId111" Type="http://schemas.openxmlformats.org/officeDocument/2006/relationships/hyperlink" Target="consultantplus://offline/ref=D67D80D92A27F2178340A76A7F4BD7CD46EBE29FC052FF3927A920F1F88C5BF74894CFC536sCi5O" TargetMode="External"/><Relationship Id="rId112" Type="http://schemas.openxmlformats.org/officeDocument/2006/relationships/hyperlink" Target="consultantplus://offline/ref=C9CCBC23A8125222983142FA937AFE5B78AC21B32912CA3A50A1E72137D08BCFD8D6C79FE50AE88A8A18EA638785A7140696328347M6JEO" TargetMode="External"/><Relationship Id="rId113" Type="http://schemas.openxmlformats.org/officeDocument/2006/relationships/hyperlink" Target="consultantplus://offline/ref=D67D80D92A27F2178340A76A7F4BD7CD46EBE29FC052FF3927A920F1F8s8iCO" TargetMode="External"/><Relationship Id="rId114" Type="http://schemas.openxmlformats.org/officeDocument/2006/relationships/hyperlink" Target="consultantplus://offline/ref=FD5AB8CEA51B15543E1F4D9BB36B9990648051CC43C8ED5372C7744AD465686764E7B7FAz4IAJ" TargetMode="External"/><Relationship Id="rId115" Type="http://schemas.openxmlformats.org/officeDocument/2006/relationships/hyperlink" Target="consultantplus://offline/ref=F7BE0023D037E2E989AF4BD2BD2C527EFE75AC644D618DC7E2B9B9C5A2099D44971ED41389713FP5w7N" TargetMode="External"/><Relationship Id="rId116" Type="http://schemas.openxmlformats.org/officeDocument/2006/relationships/hyperlink" Target="consultantplus://offline/ref=3ACFAEEB1D68190A67950348BC3FCCD0761E0BD58EFAB7702D0BDFF8883AC74798600FCEA7AFC8HECDO" TargetMode="External"/><Relationship Id="rId117" Type="http://schemas.openxmlformats.org/officeDocument/2006/relationships/hyperlink" Target="consultantplus://offline/ref=385409F19BE147C0135D04106B600D2D37CE6F386537077CD9A119C4FE1F71973382EE402EF246F1IEq1M" TargetMode="External"/><Relationship Id="rId118" Type="http://schemas.openxmlformats.org/officeDocument/2006/relationships/hyperlink" Target="consultantplus://offline/ref=385409F19BE147C0135D04106B600D2D34CF6D3D6430077CD9A119C4FE1F71973382EE402EF247F6IEq6M" TargetMode="External"/><Relationship Id="rId119" Type="http://schemas.openxmlformats.org/officeDocument/2006/relationships/hyperlink" Target="consultantplus://offline/ref=385409F19BE147C0135D04106B600D2D37CE6F386537077CD9A119C4FE1F71973382EE45I2q6M" TargetMode="External"/><Relationship Id="rId120" Type="http://schemas.openxmlformats.org/officeDocument/2006/relationships/hyperlink" Target="consultantplus://offline/ref=385409F19BE147C0135D04106B600D2D37CE6F386537077CD9A119C4FE1F71973382EE42I2qEM" TargetMode="External"/><Relationship Id="rId121" Type="http://schemas.openxmlformats.org/officeDocument/2006/relationships/hyperlink" Target="consultantplus://offline/ref=83199FA4DA2592C53C0CA50142AA796665BBF5FEF9184226BEF65AF8A9045E1C982A15184At9X4J" TargetMode="External"/><Relationship Id="rId122" Type="http://schemas.openxmlformats.org/officeDocument/2006/relationships/hyperlink" Target="consultantplus://offline/ref=83199FA4DA2592C53C0CA50142AA796665B0FDFFF51B4226BEF65AF8A9t0X4J" TargetMode="External"/><Relationship Id="rId123" Type="http://schemas.openxmlformats.org/officeDocument/2006/relationships/hyperlink" Target="consultantplus://offline/ref=83199FA4DA2592C53C0CA50142AA796665BAFBF8FC1F4226BEF65AF8A9045E1C982A151C42t9X5J" TargetMode="External"/><Relationship Id="rId124" Type="http://schemas.openxmlformats.org/officeDocument/2006/relationships/hyperlink" Target="consultantplus://offline/ref=83199FA4DA2592C53C0CA50142AA796665BAFBF8FC1F4226BEF65AF8A9045E1C982A151F4396B102t4X3J" TargetMode="External"/><Relationship Id="rId125" Type="http://schemas.openxmlformats.org/officeDocument/2006/relationships/footer" Target="footer1.xml"/><Relationship Id="rId126" Type="http://schemas.openxmlformats.org/officeDocument/2006/relationships/numbering" Target="numbering.xml"/><Relationship Id="rId127" Type="http://schemas.openxmlformats.org/officeDocument/2006/relationships/fontTable" Target="fontTable.xml"/><Relationship Id="rId128" Type="http://schemas.openxmlformats.org/officeDocument/2006/relationships/settings" Target="settings.xml"/><Relationship Id="rId129" Type="http://schemas.openxmlformats.org/officeDocument/2006/relationships/theme" Target="theme/theme1.xml"/><Relationship Id="rId13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F7A1-1CBA-4849-8E93-A33F7A73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Application>LibreOffice/6.0.7.3$Linux_X86_64 LibreOffice_project/00m0$Build-3</Application>
  <Pages>74</Pages>
  <Words>32272</Words>
  <Characters>230678</Characters>
  <CharactersWithSpaces>262239</CharactersWithSpaces>
  <Paragraphs>1220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2022-04-18T08:19:00Z</dcterms:created>
  <dc:creator>Светлана П. Боровских</dc:creator>
  <dc:description/>
  <dc:language>ru-RU</dc:language>
  <cp:lastModifiedBy>Юрист ДО.</cp:lastModifiedBy>
  <cp:lastPrinted>2022-12-13T08:59:00Z</cp:lastPrinted>
  <dcterms:modified xsi:type="dcterms:W3CDTF">2023-01-19T11:38:00Z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